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75CE2" w14:textId="3B62FA34" w:rsidR="00FE295F" w:rsidRPr="009A67FC" w:rsidRDefault="00FE295F" w:rsidP="004537DE">
      <w:pPr>
        <w:spacing w:after="120" w:line="360" w:lineRule="auto"/>
        <w:jc w:val="center"/>
        <w:rPr>
          <w:rFonts w:ascii="David" w:hAnsi="David" w:cs="David"/>
          <w:b/>
          <w:bCs/>
          <w:color w:val="0070C0"/>
          <w:sz w:val="30"/>
          <w:szCs w:val="30"/>
          <w:rtl/>
        </w:rPr>
      </w:pPr>
      <w:r w:rsidRPr="009A67FC">
        <w:rPr>
          <w:rFonts w:ascii="David" w:hAnsi="David" w:cs="David"/>
          <w:b/>
          <w:bCs/>
          <w:color w:val="0070C0"/>
          <w:sz w:val="30"/>
          <w:szCs w:val="30"/>
          <w:rtl/>
        </w:rPr>
        <w:t xml:space="preserve">מדד הקול הישראלי </w:t>
      </w:r>
      <w:r w:rsidR="004537DE" w:rsidRPr="009A67FC">
        <w:rPr>
          <w:rFonts w:ascii="David" w:hAnsi="David" w:cs="David" w:hint="cs"/>
          <w:b/>
          <w:bCs/>
          <w:color w:val="0070C0"/>
          <w:sz w:val="30"/>
          <w:szCs w:val="30"/>
          <w:rtl/>
        </w:rPr>
        <w:t>אוגוסט</w:t>
      </w:r>
      <w:r w:rsidR="0033542E" w:rsidRPr="009A67FC">
        <w:rPr>
          <w:rFonts w:ascii="David" w:hAnsi="David" w:cs="David" w:hint="cs"/>
          <w:b/>
          <w:bCs/>
          <w:color w:val="0070C0"/>
          <w:sz w:val="30"/>
          <w:szCs w:val="30"/>
          <w:rtl/>
        </w:rPr>
        <w:t xml:space="preserve"> </w:t>
      </w:r>
      <w:r w:rsidRPr="009A67FC">
        <w:rPr>
          <w:rFonts w:ascii="David" w:hAnsi="David" w:cs="David"/>
          <w:b/>
          <w:bCs/>
          <w:color w:val="0070C0"/>
          <w:sz w:val="30"/>
          <w:szCs w:val="30"/>
          <w:rtl/>
        </w:rPr>
        <w:t>2020</w:t>
      </w:r>
    </w:p>
    <w:p w14:paraId="5EC0643D" w14:textId="336E0A65" w:rsidR="00FE295F" w:rsidRPr="009A67FC" w:rsidRDefault="00FE295F" w:rsidP="000B657A">
      <w:pPr>
        <w:spacing w:after="0" w:line="360" w:lineRule="auto"/>
        <w:jc w:val="center"/>
        <w:rPr>
          <w:rFonts w:ascii="David" w:hAnsi="David" w:cs="David"/>
          <w:b/>
          <w:bCs/>
          <w:sz w:val="26"/>
          <w:szCs w:val="26"/>
          <w:rtl/>
        </w:rPr>
      </w:pPr>
      <w:r w:rsidRPr="009A67FC">
        <w:rPr>
          <w:rFonts w:ascii="David" w:hAnsi="David" w:cs="David"/>
          <w:b/>
          <w:bCs/>
          <w:sz w:val="26"/>
          <w:szCs w:val="26"/>
          <w:rtl/>
        </w:rPr>
        <w:t>פרופ' תמר הרמן וד"ר אור ענבי</w:t>
      </w:r>
    </w:p>
    <w:p w14:paraId="01A5CA0B" w14:textId="65B56823" w:rsidR="007A3CE5" w:rsidRDefault="007A3CE5" w:rsidP="005F230C">
      <w:pPr>
        <w:spacing w:before="360" w:after="120" w:line="360" w:lineRule="auto"/>
        <w:jc w:val="both"/>
        <w:rPr>
          <w:rFonts w:ascii="David" w:hAnsi="David" w:cs="David"/>
          <w:b/>
          <w:bCs/>
          <w:color w:val="0070C0"/>
          <w:sz w:val="24"/>
          <w:szCs w:val="24"/>
          <w:rtl/>
        </w:rPr>
      </w:pPr>
      <w:r>
        <w:rPr>
          <w:rFonts w:ascii="David" w:hAnsi="David" w:cs="David" w:hint="cs"/>
          <w:b/>
          <w:bCs/>
          <w:color w:val="0070C0"/>
          <w:sz w:val="24"/>
          <w:szCs w:val="24"/>
          <w:rtl/>
        </w:rPr>
        <w:t>ממצאים עיקריים</w:t>
      </w:r>
    </w:p>
    <w:p w14:paraId="3B3B8201" w14:textId="4FC9ECA7" w:rsidR="00811EFD" w:rsidRPr="009A67FC" w:rsidRDefault="008E2FD1" w:rsidP="009A67FC">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בנושא עתיד הדמוקרטיה בישראל ועתיד הביטחון הלאומי לא חל החודש שינוי בהשוואה לחודש הקודם. ההפגנות במישור הפנימי וההתקרבות לאיחוד האמירויות במישור החיצוני לא העלו ולא הורידו את מידת האופטימיות/פסימיות</w:t>
      </w:r>
      <w:r w:rsidR="005A533D">
        <w:rPr>
          <w:rFonts w:ascii="David" w:hAnsi="David" w:cs="David" w:hint="cs"/>
          <w:sz w:val="24"/>
          <w:szCs w:val="24"/>
          <w:rtl/>
        </w:rPr>
        <w:t xml:space="preserve"> לגבי שני הנושאים הללו</w:t>
      </w:r>
      <w:r>
        <w:rPr>
          <w:rFonts w:ascii="David" w:hAnsi="David" w:cs="David" w:hint="cs"/>
          <w:sz w:val="24"/>
          <w:szCs w:val="24"/>
          <w:rtl/>
        </w:rPr>
        <w:t xml:space="preserve">. כבעבר </w:t>
      </w:r>
      <w:r w:rsidR="009A67FC">
        <w:rPr>
          <w:rFonts w:ascii="David" w:hAnsi="David" w:cs="David"/>
          <w:sz w:val="24"/>
          <w:szCs w:val="24"/>
          <w:rtl/>
        </w:rPr>
        <w:t>–</w:t>
      </w:r>
      <w:r>
        <w:rPr>
          <w:rFonts w:ascii="David" w:hAnsi="David" w:cs="David" w:hint="cs"/>
          <w:sz w:val="24"/>
          <w:szCs w:val="24"/>
          <w:rtl/>
        </w:rPr>
        <w:t xml:space="preserve"> </w:t>
      </w:r>
      <w:r w:rsidRPr="009A67FC">
        <w:rPr>
          <w:rFonts w:ascii="David" w:hAnsi="David" w:cs="David" w:hint="cs"/>
          <w:sz w:val="24"/>
          <w:szCs w:val="24"/>
          <w:rtl/>
        </w:rPr>
        <w:t>מיעוט אופטימיים בהקשר ל</w:t>
      </w:r>
      <w:r w:rsidR="005A533D" w:rsidRPr="009A67FC">
        <w:rPr>
          <w:rFonts w:ascii="David" w:hAnsi="David" w:cs="David" w:hint="cs"/>
          <w:sz w:val="24"/>
          <w:szCs w:val="24"/>
          <w:rtl/>
        </w:rPr>
        <w:t xml:space="preserve">עתיד </w:t>
      </w:r>
      <w:r w:rsidR="00DA5084" w:rsidRPr="009A67FC">
        <w:rPr>
          <w:rFonts w:ascii="David" w:hAnsi="David" w:cs="David" w:hint="cs"/>
          <w:sz w:val="24"/>
          <w:szCs w:val="24"/>
          <w:rtl/>
        </w:rPr>
        <w:t xml:space="preserve">השלטון </w:t>
      </w:r>
      <w:r w:rsidR="005A533D" w:rsidRPr="009A67FC">
        <w:rPr>
          <w:rFonts w:ascii="David" w:hAnsi="David" w:cs="David" w:hint="cs"/>
          <w:sz w:val="24"/>
          <w:szCs w:val="24"/>
          <w:rtl/>
        </w:rPr>
        <w:t>ה</w:t>
      </w:r>
      <w:r w:rsidRPr="009A67FC">
        <w:rPr>
          <w:rFonts w:ascii="David" w:hAnsi="David" w:cs="David" w:hint="cs"/>
          <w:sz w:val="24"/>
          <w:szCs w:val="24"/>
          <w:rtl/>
        </w:rPr>
        <w:t>דמוקרטי</w:t>
      </w:r>
      <w:r w:rsidR="00DA5084" w:rsidRPr="009A67FC">
        <w:rPr>
          <w:rFonts w:ascii="David" w:hAnsi="David" w:cs="David" w:hint="cs"/>
          <w:sz w:val="24"/>
          <w:szCs w:val="24"/>
          <w:rtl/>
        </w:rPr>
        <w:t xml:space="preserve"> </w:t>
      </w:r>
      <w:r w:rsidRPr="009A67FC">
        <w:rPr>
          <w:rFonts w:ascii="David" w:hAnsi="David" w:cs="David" w:hint="cs"/>
          <w:sz w:val="24"/>
          <w:szCs w:val="24"/>
          <w:rtl/>
        </w:rPr>
        <w:t>ורוב</w:t>
      </w:r>
      <w:r w:rsidR="002F676C" w:rsidRPr="009A67FC">
        <w:rPr>
          <w:rFonts w:ascii="David" w:hAnsi="David" w:cs="David" w:hint="cs"/>
          <w:sz w:val="24"/>
          <w:szCs w:val="24"/>
          <w:rtl/>
        </w:rPr>
        <w:t xml:space="preserve"> </w:t>
      </w:r>
      <w:r w:rsidR="00DA5084" w:rsidRPr="009A67FC">
        <w:rPr>
          <w:rFonts w:ascii="David" w:hAnsi="David" w:cs="David" w:hint="cs"/>
          <w:sz w:val="24"/>
          <w:szCs w:val="24"/>
          <w:rtl/>
        </w:rPr>
        <w:t xml:space="preserve">הם </w:t>
      </w:r>
      <w:r w:rsidR="005A533D" w:rsidRPr="009A67FC">
        <w:rPr>
          <w:rFonts w:ascii="David" w:hAnsi="David" w:cs="David" w:hint="cs"/>
          <w:sz w:val="24"/>
          <w:szCs w:val="24"/>
          <w:rtl/>
        </w:rPr>
        <w:t xml:space="preserve">אופטימיים </w:t>
      </w:r>
      <w:r w:rsidRPr="009A67FC">
        <w:rPr>
          <w:rFonts w:ascii="David" w:hAnsi="David" w:cs="David" w:hint="cs"/>
          <w:sz w:val="24"/>
          <w:szCs w:val="24"/>
          <w:rtl/>
        </w:rPr>
        <w:t>לגבי הביטחון הלאומי.</w:t>
      </w:r>
    </w:p>
    <w:p w14:paraId="172A1DB1" w14:textId="7C4FD2E3" w:rsidR="00AC79ED" w:rsidRDefault="00AC79ED" w:rsidP="009A67FC">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 xml:space="preserve">האופטימיות הנמוכה לגבי עתיד השלטון הדמוקרטי ניזונה מן הסתם לפחות במידה מסוימת מהתחושה שימיה של הממשלה הנוכחית קצרים. למעלה משני שלישים צופים בחירות רביעיות לאחר תום התקופה הנקובה בפשרה שהושגה </w:t>
      </w:r>
      <w:r w:rsidR="00DA5084">
        <w:rPr>
          <w:rFonts w:ascii="David" w:hAnsi="David" w:cs="David" w:hint="cs"/>
          <w:sz w:val="24"/>
          <w:szCs w:val="24"/>
          <w:rtl/>
        </w:rPr>
        <w:t xml:space="preserve">לאחרונה </w:t>
      </w:r>
      <w:r>
        <w:rPr>
          <w:rFonts w:ascii="David" w:hAnsi="David" w:cs="David" w:hint="cs"/>
          <w:sz w:val="24"/>
          <w:szCs w:val="24"/>
          <w:rtl/>
        </w:rPr>
        <w:t>בין הליכוד ל</w:t>
      </w:r>
      <w:r w:rsidR="009A67FC">
        <w:rPr>
          <w:rFonts w:ascii="David" w:hAnsi="David" w:cs="David" w:hint="cs"/>
          <w:sz w:val="24"/>
          <w:szCs w:val="24"/>
          <w:rtl/>
        </w:rPr>
        <w:t xml:space="preserve">בין </w:t>
      </w:r>
      <w:r>
        <w:rPr>
          <w:rFonts w:ascii="David" w:hAnsi="David" w:cs="David" w:hint="cs"/>
          <w:sz w:val="24"/>
          <w:szCs w:val="24"/>
          <w:rtl/>
        </w:rPr>
        <w:t>כחול</w:t>
      </w:r>
      <w:r w:rsidR="009A67FC">
        <w:rPr>
          <w:rFonts w:ascii="David" w:hAnsi="David" w:cs="David" w:hint="cs"/>
          <w:sz w:val="24"/>
          <w:szCs w:val="24"/>
          <w:rtl/>
        </w:rPr>
        <w:t>-</w:t>
      </w:r>
      <w:r>
        <w:rPr>
          <w:rFonts w:ascii="David" w:hAnsi="David" w:cs="David" w:hint="cs"/>
          <w:sz w:val="24"/>
          <w:szCs w:val="24"/>
          <w:rtl/>
        </w:rPr>
        <w:t>לבן.</w:t>
      </w:r>
    </w:p>
    <w:p w14:paraId="2BC6C953" w14:textId="7B020EF5" w:rsidR="00AC79ED" w:rsidRDefault="00AC79ED" w:rsidP="008E2FD1">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 xml:space="preserve">רק מעטים מעריכים כי שני הצדדים עשו ויתורים דומים כדי להגיע לפשרה זו. במרכז </w:t>
      </w:r>
      <w:r w:rsidR="00DA5084">
        <w:rPr>
          <w:rFonts w:ascii="David" w:hAnsi="David" w:cs="David" w:hint="cs"/>
          <w:sz w:val="24"/>
          <w:szCs w:val="24"/>
          <w:rtl/>
        </w:rPr>
        <w:t>וב</w:t>
      </w:r>
      <w:r>
        <w:rPr>
          <w:rFonts w:ascii="David" w:hAnsi="David" w:cs="David" w:hint="cs"/>
          <w:sz w:val="24"/>
          <w:szCs w:val="24"/>
          <w:rtl/>
        </w:rPr>
        <w:t xml:space="preserve">שמאל ההערכה היא שבני גנץ עשה יותר ויתורים ואילו בימין </w:t>
      </w:r>
      <w:r>
        <w:rPr>
          <w:rFonts w:ascii="David" w:hAnsi="David" w:cs="David"/>
          <w:sz w:val="24"/>
          <w:szCs w:val="24"/>
          <w:rtl/>
        </w:rPr>
        <w:t>–</w:t>
      </w:r>
      <w:r>
        <w:rPr>
          <w:rFonts w:ascii="David" w:hAnsi="David" w:cs="David" w:hint="cs"/>
          <w:sz w:val="24"/>
          <w:szCs w:val="24"/>
          <w:rtl/>
        </w:rPr>
        <w:t xml:space="preserve"> שנתניהו ויתר יותר.</w:t>
      </w:r>
    </w:p>
    <w:p w14:paraId="55E5B870" w14:textId="7CE2F7A5" w:rsidR="00E761B4" w:rsidRDefault="00E761B4" w:rsidP="008E2FD1">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כעשירית מהמדגם ענו כי בחודשים האחרונים הם השתתפו בפעילות מחאה אחת או יותר נגד מדיניות הממשלה ונגד ראש הממשלה נתניהו.</w:t>
      </w:r>
      <w:r w:rsidR="00DA5084">
        <w:rPr>
          <w:rFonts w:ascii="David" w:hAnsi="David" w:cs="David" w:hint="cs"/>
          <w:sz w:val="24"/>
          <w:szCs w:val="24"/>
          <w:rtl/>
        </w:rPr>
        <w:t xml:space="preserve"> שיעור זה דומה בקר</w:t>
      </w:r>
      <w:r w:rsidR="009A67FC">
        <w:rPr>
          <w:rFonts w:ascii="David" w:hAnsi="David" w:cs="David" w:hint="cs"/>
          <w:sz w:val="24"/>
          <w:szCs w:val="24"/>
          <w:rtl/>
        </w:rPr>
        <w:t>ב</w:t>
      </w:r>
      <w:r w:rsidR="00DA5084">
        <w:rPr>
          <w:rFonts w:ascii="David" w:hAnsi="David" w:cs="David" w:hint="cs"/>
          <w:sz w:val="24"/>
          <w:szCs w:val="24"/>
          <w:rtl/>
        </w:rPr>
        <w:t xml:space="preserve"> המרואיינים היהודים והערבים.</w:t>
      </w:r>
    </w:p>
    <w:p w14:paraId="255E5796" w14:textId="1D5A55A3" w:rsidR="00E761B4" w:rsidRDefault="00E761B4" w:rsidP="009A67FC">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 xml:space="preserve">שיעור המשתתפים </w:t>
      </w:r>
      <w:r w:rsidR="00DA5084">
        <w:rPr>
          <w:rFonts w:ascii="David" w:hAnsi="David" w:cs="David" w:hint="cs"/>
          <w:sz w:val="24"/>
          <w:szCs w:val="24"/>
          <w:rtl/>
        </w:rPr>
        <w:t xml:space="preserve">היהודים </w:t>
      </w:r>
      <w:r w:rsidR="00AC79ED">
        <w:rPr>
          <w:rFonts w:ascii="David" w:hAnsi="David" w:cs="David" w:hint="cs"/>
          <w:sz w:val="24"/>
          <w:szCs w:val="24"/>
          <w:rtl/>
        </w:rPr>
        <w:t xml:space="preserve">במחאה </w:t>
      </w:r>
      <w:r>
        <w:rPr>
          <w:rFonts w:ascii="David" w:hAnsi="David" w:cs="David" w:hint="cs"/>
          <w:sz w:val="24"/>
          <w:szCs w:val="24"/>
          <w:rtl/>
        </w:rPr>
        <w:t>הוא הגבוה ביותר בין מי שזיהו עצמם כשמאל והנמוך ביותר בקרב מי שזיהו עצמם כימין</w:t>
      </w:r>
      <w:r w:rsidR="009A67FC">
        <w:rPr>
          <w:rFonts w:ascii="David" w:hAnsi="David" w:cs="David" w:hint="cs"/>
          <w:sz w:val="24"/>
          <w:szCs w:val="24"/>
          <w:rtl/>
        </w:rPr>
        <w:t>,</w:t>
      </w:r>
      <w:r>
        <w:rPr>
          <w:rFonts w:ascii="David" w:hAnsi="David" w:cs="David" w:hint="cs"/>
          <w:sz w:val="24"/>
          <w:szCs w:val="24"/>
          <w:rtl/>
        </w:rPr>
        <w:t xml:space="preserve"> כשהמרכז מצוי בתווך. מבחינה גילית, לפי המדגם זוהי מחאה הנישאת על כת</w:t>
      </w:r>
      <w:r w:rsidR="00945ED1">
        <w:rPr>
          <w:rFonts w:ascii="David" w:hAnsi="David" w:cs="David" w:hint="cs"/>
          <w:sz w:val="24"/>
          <w:szCs w:val="24"/>
          <w:rtl/>
        </w:rPr>
        <w:t>פ</w:t>
      </w:r>
      <w:r>
        <w:rPr>
          <w:rFonts w:ascii="David" w:hAnsi="David" w:cs="David" w:hint="cs"/>
          <w:sz w:val="24"/>
          <w:szCs w:val="24"/>
          <w:rtl/>
        </w:rPr>
        <w:t>י קבוצות הגיל הצעירות והמבוגרות ביותר, כאשר הנוכחות של גילי הביניים נמוכה בהרבה.</w:t>
      </w:r>
    </w:p>
    <w:p w14:paraId="1065CB35" w14:textId="6AE0472B" w:rsidR="00945ED1" w:rsidRDefault="00945ED1" w:rsidP="00DA5084">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מי אחראי לעימותים בהפגנות? במדגם היהודי</w:t>
      </w:r>
      <w:r w:rsidR="002F676C">
        <w:rPr>
          <w:rFonts w:ascii="David" w:hAnsi="David" w:cs="David" w:hint="cs"/>
          <w:sz w:val="24"/>
          <w:szCs w:val="24"/>
          <w:rtl/>
        </w:rPr>
        <w:t xml:space="preserve"> </w:t>
      </w:r>
      <w:r>
        <w:rPr>
          <w:rFonts w:ascii="David" w:hAnsi="David" w:cs="David" w:hint="cs"/>
          <w:sz w:val="24"/>
          <w:szCs w:val="24"/>
          <w:rtl/>
        </w:rPr>
        <w:t xml:space="preserve">הנטייה היא להטיל יותר אחריות על </w:t>
      </w:r>
      <w:r w:rsidR="00DA5084">
        <w:rPr>
          <w:rFonts w:ascii="David" w:hAnsi="David" w:cs="David" w:hint="cs"/>
          <w:sz w:val="24"/>
          <w:szCs w:val="24"/>
          <w:rtl/>
        </w:rPr>
        <w:t xml:space="preserve">כתפי </w:t>
      </w:r>
      <w:r>
        <w:rPr>
          <w:rFonts w:ascii="David" w:hAnsi="David" w:cs="David" w:hint="cs"/>
          <w:sz w:val="24"/>
          <w:szCs w:val="24"/>
          <w:rtl/>
        </w:rPr>
        <w:t xml:space="preserve">המפגינים אבל במדגם הערבי השיעור הגבוה ביותר מטיל את רוב האחריות על המשטרה. פילוח לפי מחנה פוליטי מראה כי השמאל מטיל יותר אחריות על המשטרה והימין יותר על המפגינים, כאשר המרכז יותר משני המחנות האחרים </w:t>
      </w:r>
      <w:r w:rsidR="00DA5084">
        <w:rPr>
          <w:rFonts w:ascii="David" w:hAnsi="David" w:cs="David" w:hint="cs"/>
          <w:sz w:val="24"/>
          <w:szCs w:val="24"/>
          <w:rtl/>
        </w:rPr>
        <w:t xml:space="preserve">נוטה להטיל את האחריות </w:t>
      </w:r>
      <w:r>
        <w:rPr>
          <w:rFonts w:ascii="David" w:hAnsi="David" w:cs="David" w:hint="cs"/>
          <w:sz w:val="24"/>
          <w:szCs w:val="24"/>
          <w:rtl/>
        </w:rPr>
        <w:t>על שני הצדדים במידה שווה.</w:t>
      </w:r>
    </w:p>
    <w:p w14:paraId="1A2256E0" w14:textId="2D941BC4" w:rsidR="007864BA" w:rsidRDefault="007864BA" w:rsidP="00945ED1">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 xml:space="preserve">רוב המרואיינים סבורים כי ההתקרבות לאיחוד האמירויות </w:t>
      </w:r>
      <w:r w:rsidR="000B5CD8">
        <w:rPr>
          <w:rFonts w:ascii="David" w:hAnsi="David" w:cs="David" w:hint="cs"/>
          <w:sz w:val="24"/>
          <w:szCs w:val="24"/>
          <w:rtl/>
        </w:rPr>
        <w:t>ת</w:t>
      </w:r>
      <w:r>
        <w:rPr>
          <w:rFonts w:ascii="David" w:hAnsi="David" w:cs="David" w:hint="cs"/>
          <w:sz w:val="24"/>
          <w:szCs w:val="24"/>
          <w:rtl/>
        </w:rPr>
        <w:t>ביא תועלת לישראל בתחום הכלכלי, בתחום המדיני-דיפלומטי, בתחום התיירות והנופש וגם בתחום הב</w:t>
      </w:r>
      <w:r w:rsidR="009A67FC">
        <w:rPr>
          <w:rFonts w:ascii="David" w:hAnsi="David" w:cs="David" w:hint="cs"/>
          <w:sz w:val="24"/>
          <w:szCs w:val="24"/>
          <w:rtl/>
        </w:rPr>
        <w:t>י</w:t>
      </w:r>
      <w:r>
        <w:rPr>
          <w:rFonts w:ascii="David" w:hAnsi="David" w:cs="David" w:hint="cs"/>
          <w:sz w:val="24"/>
          <w:szCs w:val="24"/>
          <w:rtl/>
        </w:rPr>
        <w:t>טחוני-צבאי, ואולם שיעור הצופים תועלת בתחום האחרון הוא הנמוך מבין הארבעה.</w:t>
      </w:r>
    </w:p>
    <w:p w14:paraId="2E052E55" w14:textId="6A1220D1" w:rsidR="00442A88" w:rsidRDefault="00442A88" w:rsidP="00945ED1">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רוב קטן בכלל הציבור סבורים כי ההתקרבות לאיחוד האמירויות תתרום לקיד</w:t>
      </w:r>
      <w:r w:rsidR="00DA5084">
        <w:rPr>
          <w:rFonts w:ascii="David" w:hAnsi="David" w:cs="David" w:hint="cs"/>
          <w:sz w:val="24"/>
          <w:szCs w:val="24"/>
          <w:rtl/>
        </w:rPr>
        <w:t>ו</w:t>
      </w:r>
      <w:r>
        <w:rPr>
          <w:rFonts w:ascii="David" w:hAnsi="David" w:cs="David" w:hint="cs"/>
          <w:sz w:val="24"/>
          <w:szCs w:val="24"/>
          <w:rtl/>
        </w:rPr>
        <w:t>ם המשא ומתן עם הפלסטינים.</w:t>
      </w:r>
    </w:p>
    <w:p w14:paraId="10A833C1" w14:textId="3EB9F80A" w:rsidR="008E2FD1" w:rsidRDefault="008E2FD1" w:rsidP="00A72D16">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 xml:space="preserve">תחושת הרוב היא שמצב הרוח הלאומי לקראת השנה הבאה הוא </w:t>
      </w:r>
      <w:r w:rsidR="009141E6">
        <w:rPr>
          <w:rFonts w:ascii="David" w:hAnsi="David" w:cs="David" w:hint="cs"/>
          <w:sz w:val="24"/>
          <w:szCs w:val="24"/>
          <w:rtl/>
        </w:rPr>
        <w:t>פסימי.</w:t>
      </w:r>
      <w:r w:rsidR="00E81E8A">
        <w:rPr>
          <w:rFonts w:ascii="David" w:hAnsi="David" w:cs="David" w:hint="cs"/>
          <w:sz w:val="24"/>
          <w:szCs w:val="24"/>
          <w:rtl/>
        </w:rPr>
        <w:t xml:space="preserve"> </w:t>
      </w:r>
      <w:r w:rsidR="00A72D16">
        <w:rPr>
          <w:rFonts w:ascii="David" w:hAnsi="David" w:cs="David" w:hint="cs"/>
          <w:sz w:val="24"/>
          <w:szCs w:val="24"/>
          <w:rtl/>
        </w:rPr>
        <w:t xml:space="preserve">ואולם, </w:t>
      </w:r>
      <w:r w:rsidR="00E81E8A">
        <w:rPr>
          <w:rFonts w:ascii="David" w:hAnsi="David" w:cs="David" w:hint="cs"/>
          <w:sz w:val="24"/>
          <w:szCs w:val="24"/>
          <w:rtl/>
        </w:rPr>
        <w:t>שיעור החרדים הרואים אופטימיות ציבורית הוא גבוה פי שלושה משיעורם בקרב החילונים!</w:t>
      </w:r>
    </w:p>
    <w:p w14:paraId="2578E90F" w14:textId="3A1EBF04" w:rsidR="00A72D16" w:rsidRDefault="00A72D16" w:rsidP="00A72D16">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 xml:space="preserve">מי שהם אופטימיים בעצמם לקראת השנה החדשה נוטים להעריך גם את מצב הרוח הציבורי ככזה ולהיפך </w:t>
      </w:r>
      <w:r>
        <w:rPr>
          <w:rFonts w:ascii="David" w:hAnsi="David" w:cs="David"/>
          <w:sz w:val="24"/>
          <w:szCs w:val="24"/>
          <w:rtl/>
        </w:rPr>
        <w:t>–</w:t>
      </w:r>
      <w:r>
        <w:rPr>
          <w:rFonts w:ascii="David" w:hAnsi="David" w:cs="David" w:hint="cs"/>
          <w:sz w:val="24"/>
          <w:szCs w:val="24"/>
          <w:rtl/>
        </w:rPr>
        <w:t xml:space="preserve"> רוב מי שמדווחים על מצב רוח אישי פסימי לגבי העתיד לבוא, מעריכים כך גם את מצב הרוח הציבורי, כלומר מדובר בתמונת מראה תפיסתית של האישי והציבורי.</w:t>
      </w:r>
    </w:p>
    <w:p w14:paraId="4892D8FD" w14:textId="7D274CB5" w:rsidR="00410DA8" w:rsidRDefault="00410DA8" w:rsidP="00DA5084">
      <w:pPr>
        <w:pStyle w:val="a3"/>
        <w:numPr>
          <w:ilvl w:val="0"/>
          <w:numId w:val="7"/>
        </w:numPr>
        <w:spacing w:after="120" w:line="360" w:lineRule="auto"/>
        <w:jc w:val="both"/>
        <w:rPr>
          <w:rFonts w:ascii="David" w:hAnsi="David" w:cs="David"/>
          <w:sz w:val="24"/>
          <w:szCs w:val="24"/>
        </w:rPr>
      </w:pPr>
      <w:r>
        <w:rPr>
          <w:rFonts w:ascii="David" w:hAnsi="David" w:cs="David" w:hint="cs"/>
          <w:sz w:val="24"/>
          <w:szCs w:val="24"/>
          <w:rtl/>
        </w:rPr>
        <w:t xml:space="preserve">שיעור הסבורים שהשנה הבאה תהיה טובה פחות מקודמתה גבוה בהרבה </w:t>
      </w:r>
      <w:proofErr w:type="spellStart"/>
      <w:r>
        <w:rPr>
          <w:rFonts w:ascii="David" w:hAnsi="David" w:cs="David" w:hint="cs"/>
          <w:sz w:val="24"/>
          <w:szCs w:val="24"/>
          <w:rtl/>
        </w:rPr>
        <w:t>מבעבר</w:t>
      </w:r>
      <w:proofErr w:type="spellEnd"/>
      <w:r>
        <w:rPr>
          <w:rFonts w:ascii="David" w:hAnsi="David" w:cs="David" w:hint="cs"/>
          <w:sz w:val="24"/>
          <w:szCs w:val="24"/>
          <w:rtl/>
        </w:rPr>
        <w:t>, וגבוה משיעור הסבורים השנה</w:t>
      </w:r>
      <w:r w:rsidR="00DA5084">
        <w:rPr>
          <w:rFonts w:ascii="David" w:hAnsi="David" w:cs="David" w:hint="cs"/>
          <w:sz w:val="24"/>
          <w:szCs w:val="24"/>
          <w:rtl/>
        </w:rPr>
        <w:t xml:space="preserve"> הבאה</w:t>
      </w:r>
      <w:r>
        <w:rPr>
          <w:rFonts w:ascii="David" w:hAnsi="David" w:cs="David" w:hint="cs"/>
          <w:sz w:val="24"/>
          <w:szCs w:val="24"/>
          <w:rtl/>
        </w:rPr>
        <w:t xml:space="preserve"> תהיה טובה מ</w:t>
      </w:r>
      <w:r w:rsidR="00DA5084">
        <w:rPr>
          <w:rFonts w:ascii="David" w:hAnsi="David" w:cs="David" w:hint="cs"/>
          <w:sz w:val="24"/>
          <w:szCs w:val="24"/>
          <w:rtl/>
        </w:rPr>
        <w:t>זו המסתיימת בימים אלו</w:t>
      </w:r>
      <w:r>
        <w:rPr>
          <w:rFonts w:ascii="David" w:hAnsi="David" w:cs="David" w:hint="cs"/>
          <w:sz w:val="24"/>
          <w:szCs w:val="24"/>
          <w:rtl/>
        </w:rPr>
        <w:t xml:space="preserve"> או טובה באותה מידה.</w:t>
      </w:r>
    </w:p>
    <w:p w14:paraId="25FA07F8" w14:textId="77777777" w:rsidR="006F0776" w:rsidRDefault="006F0776" w:rsidP="00811EFD">
      <w:pPr>
        <w:spacing w:line="360" w:lineRule="auto"/>
        <w:rPr>
          <w:rFonts w:ascii="David" w:hAnsi="David" w:cs="David"/>
          <w:b/>
          <w:bCs/>
          <w:color w:val="4472C4" w:themeColor="accent5"/>
          <w:sz w:val="24"/>
          <w:szCs w:val="24"/>
          <w:rtl/>
        </w:rPr>
      </w:pPr>
    </w:p>
    <w:p w14:paraId="04107FCD" w14:textId="77777777" w:rsidR="006F0776" w:rsidRDefault="006F0776" w:rsidP="00811EFD">
      <w:pPr>
        <w:spacing w:line="360" w:lineRule="auto"/>
        <w:rPr>
          <w:rFonts w:ascii="David" w:hAnsi="David" w:cs="David"/>
          <w:b/>
          <w:bCs/>
          <w:color w:val="4472C4" w:themeColor="accent5"/>
          <w:sz w:val="24"/>
          <w:szCs w:val="24"/>
          <w:rtl/>
        </w:rPr>
      </w:pPr>
    </w:p>
    <w:p w14:paraId="5F688A4A" w14:textId="688318C1" w:rsidR="00811EFD" w:rsidRDefault="00811EFD" w:rsidP="00811EFD">
      <w:pPr>
        <w:spacing w:line="360" w:lineRule="auto"/>
        <w:rPr>
          <w:rFonts w:ascii="David" w:hAnsi="David" w:cs="David"/>
          <w:b/>
          <w:bCs/>
          <w:color w:val="4472C4" w:themeColor="accent5"/>
          <w:sz w:val="24"/>
          <w:szCs w:val="24"/>
          <w:rtl/>
        </w:rPr>
      </w:pPr>
      <w:r w:rsidRPr="00026EE9">
        <w:rPr>
          <w:rFonts w:ascii="David" w:hAnsi="David" w:cs="David" w:hint="cs"/>
          <w:b/>
          <w:bCs/>
          <w:color w:val="4472C4" w:themeColor="accent5"/>
          <w:sz w:val="24"/>
          <w:szCs w:val="24"/>
          <w:rtl/>
        </w:rPr>
        <w:lastRenderedPageBreak/>
        <w:t>מצב הרוח הלאומי</w:t>
      </w:r>
    </w:p>
    <w:p w14:paraId="0859A12C" w14:textId="347B293F" w:rsidR="002E38BE" w:rsidRPr="002E38BE" w:rsidRDefault="002E38BE" w:rsidP="009A67FC">
      <w:pPr>
        <w:spacing w:line="360" w:lineRule="auto"/>
        <w:jc w:val="both"/>
        <w:rPr>
          <w:rFonts w:ascii="David" w:hAnsi="David" w:cs="David"/>
          <w:sz w:val="24"/>
          <w:szCs w:val="24"/>
          <w:rtl/>
        </w:rPr>
      </w:pPr>
      <w:r w:rsidRPr="002E38BE">
        <w:rPr>
          <w:rFonts w:ascii="David" w:hAnsi="David" w:cs="David" w:hint="cs"/>
          <w:sz w:val="24"/>
          <w:szCs w:val="24"/>
          <w:rtl/>
        </w:rPr>
        <w:t xml:space="preserve">למרות </w:t>
      </w:r>
      <w:r>
        <w:rPr>
          <w:rFonts w:ascii="David" w:hAnsi="David" w:cs="David" w:hint="cs"/>
          <w:sz w:val="24"/>
          <w:szCs w:val="24"/>
          <w:rtl/>
        </w:rPr>
        <w:t>ריבוי ההפגנות נגד הממשלה ונגד נתניהו ברמה הפנים-לאומית</w:t>
      </w:r>
      <w:r w:rsidR="009A67FC">
        <w:rPr>
          <w:rFonts w:ascii="David" w:hAnsi="David" w:cs="David" w:hint="cs"/>
          <w:sz w:val="24"/>
          <w:szCs w:val="24"/>
          <w:rtl/>
        </w:rPr>
        <w:t>,</w:t>
      </w:r>
      <w:r w:rsidR="002F676C">
        <w:rPr>
          <w:rFonts w:ascii="David" w:hAnsi="David" w:cs="David" w:hint="cs"/>
          <w:sz w:val="24"/>
          <w:szCs w:val="24"/>
          <w:rtl/>
        </w:rPr>
        <w:t xml:space="preserve"> </w:t>
      </w:r>
      <w:r>
        <w:rPr>
          <w:rFonts w:ascii="David" w:hAnsi="David" w:cs="David" w:hint="cs"/>
          <w:sz w:val="24"/>
          <w:szCs w:val="24"/>
          <w:rtl/>
        </w:rPr>
        <w:t xml:space="preserve">ולמרות ההתקרבות עם איחוד האמירויות ברמת יחסי החוץ של ישראל, בחודש האחרון לא היו כמעט שינויים ברמת האופטימיות של הציבור בישראל בהשוואה לחודש הקודם. ההפגנות לא שינוי את התפלגות הדעות לגבי המצב מבית </w:t>
      </w:r>
      <w:r>
        <w:rPr>
          <w:rFonts w:ascii="David" w:hAnsi="David" w:cs="David"/>
          <w:sz w:val="24"/>
          <w:szCs w:val="24"/>
          <w:rtl/>
        </w:rPr>
        <w:t>–</w:t>
      </w:r>
      <w:r w:rsidR="009A67FC">
        <w:rPr>
          <w:rFonts w:ascii="David" w:hAnsi="David" w:cs="David" w:hint="cs"/>
          <w:sz w:val="24"/>
          <w:szCs w:val="24"/>
          <w:rtl/>
        </w:rPr>
        <w:t xml:space="preserve"> </w:t>
      </w:r>
      <w:r>
        <w:rPr>
          <w:rFonts w:ascii="David" w:hAnsi="David" w:cs="David" w:hint="cs"/>
          <w:sz w:val="24"/>
          <w:szCs w:val="24"/>
          <w:rtl/>
        </w:rPr>
        <w:t>מיעוט הם אופטימיים לגבי עתיד השלטון הדמוקרטי וההתקרבות עם איחוד האמירויות לא שינתה את הערכת</w:t>
      </w:r>
      <w:r w:rsidR="002F676C">
        <w:rPr>
          <w:rFonts w:ascii="David" w:hAnsi="David" w:cs="David" w:hint="cs"/>
          <w:sz w:val="24"/>
          <w:szCs w:val="24"/>
          <w:rtl/>
        </w:rPr>
        <w:t xml:space="preserve"> </w:t>
      </w:r>
      <w:r w:rsidR="00DA5084">
        <w:rPr>
          <w:rFonts w:ascii="David" w:hAnsi="David" w:cs="David" w:hint="cs"/>
          <w:sz w:val="24"/>
          <w:szCs w:val="24"/>
          <w:rtl/>
        </w:rPr>
        <w:t xml:space="preserve">הציבור את </w:t>
      </w:r>
      <w:r>
        <w:rPr>
          <w:rFonts w:ascii="David" w:hAnsi="David" w:cs="David" w:hint="cs"/>
          <w:sz w:val="24"/>
          <w:szCs w:val="24"/>
          <w:rtl/>
        </w:rPr>
        <w:t>מצב הב</w:t>
      </w:r>
      <w:r w:rsidR="009A67FC">
        <w:rPr>
          <w:rFonts w:ascii="David" w:hAnsi="David" w:cs="David" w:hint="cs"/>
          <w:sz w:val="24"/>
          <w:szCs w:val="24"/>
          <w:rtl/>
        </w:rPr>
        <w:t>י</w:t>
      </w:r>
      <w:r>
        <w:rPr>
          <w:rFonts w:ascii="David" w:hAnsi="David" w:cs="David" w:hint="cs"/>
          <w:sz w:val="24"/>
          <w:szCs w:val="24"/>
          <w:rtl/>
        </w:rPr>
        <w:t xml:space="preserve">טחון </w:t>
      </w:r>
      <w:r w:rsidR="009A67FC">
        <w:rPr>
          <w:rFonts w:ascii="David" w:hAnsi="David" w:cs="David"/>
          <w:sz w:val="24"/>
          <w:szCs w:val="24"/>
          <w:rtl/>
        </w:rPr>
        <w:t>–</w:t>
      </w:r>
      <w:r>
        <w:rPr>
          <w:rFonts w:ascii="David" w:hAnsi="David" w:cs="David" w:hint="cs"/>
          <w:sz w:val="24"/>
          <w:szCs w:val="24"/>
          <w:rtl/>
        </w:rPr>
        <w:t xml:space="preserve"> רוב קטן הם אופטימיים בנדון.</w:t>
      </w:r>
    </w:p>
    <w:p w14:paraId="5571F5A3" w14:textId="3B5AA341" w:rsidR="00811EFD" w:rsidRDefault="00811EFD" w:rsidP="004537DE">
      <w:pPr>
        <w:spacing w:after="0" w:line="360" w:lineRule="auto"/>
        <w:rPr>
          <w:rFonts w:cs="David"/>
          <w:b/>
          <w:bCs/>
          <w:sz w:val="24"/>
          <w:szCs w:val="24"/>
          <w:rtl/>
        </w:rPr>
      </w:pPr>
      <w:r w:rsidRPr="0075481F">
        <w:rPr>
          <w:rFonts w:cs="David" w:hint="cs"/>
          <w:b/>
          <w:bCs/>
          <w:sz w:val="24"/>
          <w:szCs w:val="24"/>
          <w:rtl/>
        </w:rPr>
        <w:t>אופטימיים לגבי עתיד הדמוקרטיה הישראלית ולגבי עתיד הביטחון הלאומי, אפריל</w:t>
      </w:r>
      <w:r>
        <w:rPr>
          <w:rFonts w:cs="David" w:hint="cs"/>
          <w:b/>
          <w:bCs/>
          <w:sz w:val="24"/>
          <w:szCs w:val="24"/>
          <w:rtl/>
        </w:rPr>
        <w:t xml:space="preserve"> 2019-</w:t>
      </w:r>
      <w:r w:rsidR="004537DE">
        <w:rPr>
          <w:rFonts w:cs="David" w:hint="cs"/>
          <w:b/>
          <w:bCs/>
          <w:sz w:val="24"/>
          <w:szCs w:val="24"/>
          <w:rtl/>
        </w:rPr>
        <w:t>אוגוסט</w:t>
      </w:r>
      <w:r>
        <w:rPr>
          <w:rFonts w:cs="David" w:hint="cs"/>
          <w:b/>
          <w:bCs/>
          <w:sz w:val="24"/>
          <w:szCs w:val="24"/>
          <w:rtl/>
        </w:rPr>
        <w:t xml:space="preserve"> 2020</w:t>
      </w:r>
      <w:r w:rsidRPr="0075481F">
        <w:rPr>
          <w:rFonts w:cs="David" w:hint="cs"/>
          <w:b/>
          <w:bCs/>
          <w:sz w:val="24"/>
          <w:szCs w:val="24"/>
          <w:rtl/>
        </w:rPr>
        <w:t xml:space="preserve"> (%, כלל </w:t>
      </w:r>
      <w:r>
        <w:rPr>
          <w:rFonts w:cs="David" w:hint="cs"/>
          <w:b/>
          <w:bCs/>
          <w:sz w:val="24"/>
          <w:szCs w:val="24"/>
          <w:rtl/>
        </w:rPr>
        <w:t>המדגם</w:t>
      </w:r>
      <w:r w:rsidRPr="0075481F">
        <w:rPr>
          <w:rFonts w:cs="David" w:hint="cs"/>
          <w:b/>
          <w:bCs/>
          <w:sz w:val="24"/>
          <w:szCs w:val="24"/>
          <w:rtl/>
        </w:rPr>
        <w:t>)</w:t>
      </w:r>
    </w:p>
    <w:p w14:paraId="0FE95B9D" w14:textId="77777777" w:rsidR="00811EFD" w:rsidRDefault="00811EFD" w:rsidP="00811EFD">
      <w:pPr>
        <w:spacing w:after="0" w:line="360" w:lineRule="auto"/>
        <w:ind w:hanging="188"/>
        <w:rPr>
          <w:rFonts w:cs="David"/>
          <w:b/>
          <w:bCs/>
          <w:sz w:val="24"/>
          <w:szCs w:val="24"/>
          <w:rtl/>
        </w:rPr>
      </w:pPr>
      <w:r w:rsidRPr="0075481F">
        <w:rPr>
          <w:rFonts w:ascii="David" w:eastAsia="Times New Roman" w:hAnsi="David" w:cs="David"/>
          <w:noProof/>
          <w:sz w:val="24"/>
          <w:szCs w:val="24"/>
        </w:rPr>
        <w:drawing>
          <wp:inline distT="0" distB="0" distL="0" distR="0" wp14:anchorId="2437A1BF" wp14:editId="040B5732">
            <wp:extent cx="6524625" cy="2914650"/>
            <wp:effectExtent l="0" t="0" r="0" b="0"/>
            <wp:docPr id="6" name="תרשים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E403A9" w14:textId="080392A0" w:rsidR="002D5742" w:rsidRDefault="002D5742" w:rsidP="00811EFD">
      <w:pPr>
        <w:spacing w:before="240" w:after="120" w:line="360" w:lineRule="auto"/>
        <w:jc w:val="both"/>
        <w:rPr>
          <w:rFonts w:cs="David"/>
          <w:b/>
          <w:bCs/>
          <w:color w:val="5B9BD5" w:themeColor="accent1"/>
          <w:sz w:val="24"/>
          <w:szCs w:val="24"/>
          <w:rtl/>
        </w:rPr>
      </w:pPr>
      <w:r>
        <w:rPr>
          <w:rFonts w:cs="David" w:hint="cs"/>
          <w:b/>
          <w:bCs/>
          <w:color w:val="5B9BD5" w:themeColor="accent1"/>
          <w:sz w:val="24"/>
          <w:szCs w:val="24"/>
          <w:rtl/>
        </w:rPr>
        <w:t>המערכת הפוליטית</w:t>
      </w:r>
    </w:p>
    <w:p w14:paraId="55746440" w14:textId="23E4E9A4" w:rsidR="00DB178D" w:rsidRPr="002D5742" w:rsidRDefault="00DB178D" w:rsidP="005C1D91">
      <w:pPr>
        <w:spacing w:after="120" w:line="360" w:lineRule="auto"/>
        <w:jc w:val="both"/>
        <w:rPr>
          <w:rFonts w:cs="David"/>
          <w:sz w:val="24"/>
          <w:szCs w:val="24"/>
          <w:u w:val="single"/>
          <w:rtl/>
        </w:rPr>
      </w:pPr>
      <w:r w:rsidRPr="002D5742">
        <w:rPr>
          <w:rFonts w:cs="David" w:hint="cs"/>
          <w:sz w:val="24"/>
          <w:szCs w:val="24"/>
          <w:u w:val="single"/>
          <w:rtl/>
        </w:rPr>
        <w:t>בחירות בפתח?</w:t>
      </w:r>
    </w:p>
    <w:p w14:paraId="1B0C5A44" w14:textId="42F0754F" w:rsidR="00DB178D" w:rsidRDefault="00DB178D" w:rsidP="00534838">
      <w:pPr>
        <w:spacing w:after="120" w:line="360" w:lineRule="auto"/>
        <w:ind w:right="-284"/>
        <w:jc w:val="both"/>
        <w:rPr>
          <w:rFonts w:cs="David"/>
          <w:sz w:val="24"/>
          <w:szCs w:val="24"/>
          <w:rtl/>
        </w:rPr>
      </w:pPr>
      <w:r w:rsidRPr="00DB178D">
        <w:rPr>
          <w:rFonts w:cs="David" w:hint="cs"/>
          <w:sz w:val="24"/>
          <w:szCs w:val="24"/>
          <w:rtl/>
        </w:rPr>
        <w:t>את חוסר האופטימיות בנוגע לעתיד הדמוקרטיה</w:t>
      </w:r>
      <w:r>
        <w:rPr>
          <w:rFonts w:cs="David" w:hint="cs"/>
          <w:sz w:val="24"/>
          <w:szCs w:val="24"/>
          <w:rtl/>
        </w:rPr>
        <w:t xml:space="preserve"> אפשר לייחס </w:t>
      </w:r>
      <w:r w:rsidR="00DA5084">
        <w:rPr>
          <w:rFonts w:cs="David" w:hint="cs"/>
          <w:sz w:val="24"/>
          <w:szCs w:val="24"/>
          <w:rtl/>
        </w:rPr>
        <w:t xml:space="preserve">לפחות חלקית </w:t>
      </w:r>
      <w:r>
        <w:rPr>
          <w:rFonts w:cs="David" w:hint="cs"/>
          <w:sz w:val="24"/>
          <w:szCs w:val="24"/>
          <w:rtl/>
        </w:rPr>
        <w:t>לתחושה שהממשלה הנוכחית תהיה קצרת ימים. שאלנו: "</w:t>
      </w:r>
      <w:r w:rsidRPr="00DB178D">
        <w:rPr>
          <w:rFonts w:cs="David"/>
          <w:sz w:val="24"/>
          <w:szCs w:val="24"/>
          <w:rtl/>
        </w:rPr>
        <w:t>מהם לדעתך הסיכויים שבתום ארבעת החודשים שבהסכם הפשרה בין הליכוד לכחול-לבן תלך מדינת ישראל לבחירות?</w:t>
      </w:r>
      <w:r>
        <w:rPr>
          <w:rFonts w:cs="David" w:hint="cs"/>
          <w:sz w:val="24"/>
          <w:szCs w:val="24"/>
          <w:rtl/>
        </w:rPr>
        <w:t>". למעלה משני שלישים מהמרואיינים ענו כי הסיכויים לכך גבוהים.</w:t>
      </w:r>
    </w:p>
    <w:p w14:paraId="04A08D04" w14:textId="0EED1477" w:rsidR="00DB178D" w:rsidRDefault="00DB178D" w:rsidP="00534838">
      <w:pPr>
        <w:spacing w:after="120" w:line="360" w:lineRule="auto"/>
        <w:jc w:val="both"/>
        <w:rPr>
          <w:rFonts w:cs="David"/>
          <w:b/>
          <w:bCs/>
          <w:sz w:val="24"/>
          <w:szCs w:val="24"/>
          <w:rtl/>
        </w:rPr>
      </w:pPr>
      <w:r w:rsidRPr="00DB178D">
        <w:rPr>
          <w:rFonts w:cs="David"/>
          <w:b/>
          <w:bCs/>
          <w:sz w:val="24"/>
          <w:szCs w:val="24"/>
          <w:rtl/>
        </w:rPr>
        <w:t>הסיכויים שבתום ארבעת החודשים שבהסכם הפשרה בין הליכוד לכחול-לבן תלך מדינת ישראל לבחירות</w:t>
      </w:r>
      <w:r w:rsidRPr="00DB178D">
        <w:rPr>
          <w:rFonts w:cs="David" w:hint="cs"/>
          <w:b/>
          <w:bCs/>
          <w:sz w:val="24"/>
          <w:szCs w:val="24"/>
          <w:rtl/>
        </w:rPr>
        <w:t xml:space="preserve"> (%, כלל המדגם)</w:t>
      </w:r>
    </w:p>
    <w:p w14:paraId="3836DFF7" w14:textId="54D52757" w:rsidR="00DB178D" w:rsidRPr="00DB178D" w:rsidRDefault="00DB178D" w:rsidP="00534838">
      <w:pPr>
        <w:spacing w:after="120" w:line="360" w:lineRule="auto"/>
        <w:jc w:val="both"/>
        <w:rPr>
          <w:rFonts w:cs="David"/>
          <w:b/>
          <w:bCs/>
          <w:sz w:val="24"/>
          <w:szCs w:val="24"/>
          <w:rtl/>
        </w:rPr>
      </w:pPr>
      <w:r>
        <w:rPr>
          <w:rFonts w:cs="David" w:hint="cs"/>
          <w:b/>
          <w:bCs/>
          <w:noProof/>
          <w:sz w:val="24"/>
          <w:szCs w:val="24"/>
          <w:rtl/>
        </w:rPr>
        <w:drawing>
          <wp:inline distT="0" distB="0" distL="0" distR="0" wp14:anchorId="10532560" wp14:editId="0BB352B1">
            <wp:extent cx="4724400" cy="2057400"/>
            <wp:effectExtent l="0" t="0" r="0" b="0"/>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1D386F" w14:textId="1D5E8E63" w:rsidR="00DB178D" w:rsidRDefault="000E3595" w:rsidP="000E3595">
      <w:pPr>
        <w:spacing w:after="120" w:line="360" w:lineRule="auto"/>
        <w:jc w:val="both"/>
        <w:rPr>
          <w:rFonts w:cs="David"/>
          <w:sz w:val="24"/>
          <w:szCs w:val="24"/>
          <w:rtl/>
        </w:rPr>
      </w:pPr>
      <w:r>
        <w:rPr>
          <w:rFonts w:cs="David" w:hint="cs"/>
          <w:sz w:val="24"/>
          <w:szCs w:val="24"/>
          <w:rtl/>
        </w:rPr>
        <w:lastRenderedPageBreak/>
        <w:t xml:space="preserve">חלוקה לפי מחנה פוליטי (יהודים) </w:t>
      </w:r>
      <w:r w:rsidR="000B5CD8">
        <w:rPr>
          <w:rFonts w:cs="David" w:hint="cs"/>
          <w:sz w:val="24"/>
          <w:szCs w:val="24"/>
          <w:rtl/>
        </w:rPr>
        <w:t xml:space="preserve">מעלה כי </w:t>
      </w:r>
      <w:r>
        <w:rPr>
          <w:rFonts w:cs="David" w:hint="cs"/>
          <w:sz w:val="24"/>
          <w:szCs w:val="24"/>
          <w:rtl/>
        </w:rPr>
        <w:t>ב</w:t>
      </w:r>
      <w:r w:rsidR="002D5742">
        <w:rPr>
          <w:rFonts w:cs="David" w:hint="cs"/>
          <w:sz w:val="24"/>
          <w:szCs w:val="24"/>
          <w:rtl/>
        </w:rPr>
        <w:t>שמאל השיעור של מי שצופים בחירות בתום תקופת הפשרה הוא הגבוה ביותר (88%) ואילו בימין הוא הנמוך ביותר, אם כי עדיין מדובר ברוב (68%). המרכז נמצא בתווך (79%).</w:t>
      </w:r>
    </w:p>
    <w:p w14:paraId="1B447905" w14:textId="3EA92780" w:rsidR="002D5742" w:rsidRDefault="002D5742" w:rsidP="000E3595">
      <w:pPr>
        <w:spacing w:after="120" w:line="360" w:lineRule="auto"/>
        <w:jc w:val="both"/>
        <w:rPr>
          <w:rFonts w:cs="David"/>
          <w:sz w:val="24"/>
          <w:szCs w:val="24"/>
          <w:u w:val="single"/>
        </w:rPr>
      </w:pPr>
      <w:r w:rsidRPr="002D5742">
        <w:rPr>
          <w:rFonts w:cs="David" w:hint="cs"/>
          <w:sz w:val="24"/>
          <w:szCs w:val="24"/>
          <w:u w:val="single"/>
          <w:rtl/>
        </w:rPr>
        <w:t>מי ויתר יותר?</w:t>
      </w:r>
    </w:p>
    <w:p w14:paraId="5DD54785" w14:textId="4F89359E" w:rsidR="002D5742" w:rsidRDefault="002D5742" w:rsidP="00925744">
      <w:pPr>
        <w:spacing w:after="120" w:line="360" w:lineRule="auto"/>
        <w:jc w:val="both"/>
        <w:rPr>
          <w:rFonts w:cs="David"/>
          <w:sz w:val="24"/>
          <w:szCs w:val="24"/>
          <w:rtl/>
        </w:rPr>
      </w:pPr>
      <w:r w:rsidRPr="002D5742">
        <w:rPr>
          <w:rFonts w:cs="David" w:hint="cs"/>
          <w:sz w:val="24"/>
          <w:szCs w:val="24"/>
          <w:rtl/>
        </w:rPr>
        <w:t>בכלל המדגם</w:t>
      </w:r>
      <w:r>
        <w:rPr>
          <w:rFonts w:cs="David" w:hint="cs"/>
          <w:sz w:val="24"/>
          <w:szCs w:val="24"/>
          <w:rtl/>
        </w:rPr>
        <w:t xml:space="preserve"> שיעור המעריכים כי בני גנץ עשה ויתורים גדולים יותר כדי להגיע לפשרה</w:t>
      </w:r>
      <w:r w:rsidR="00DA5084">
        <w:rPr>
          <w:rFonts w:cs="David" w:hint="cs"/>
          <w:sz w:val="24"/>
          <w:szCs w:val="24"/>
          <w:rtl/>
        </w:rPr>
        <w:t xml:space="preserve"> </w:t>
      </w:r>
      <w:r w:rsidR="000E3595">
        <w:rPr>
          <w:rFonts w:cs="David"/>
          <w:sz w:val="24"/>
          <w:szCs w:val="24"/>
          <w:rtl/>
        </w:rPr>
        <w:t>–</w:t>
      </w:r>
      <w:r w:rsidR="000E3595">
        <w:rPr>
          <w:rFonts w:cs="David" w:hint="cs"/>
          <w:sz w:val="24"/>
          <w:szCs w:val="24"/>
          <w:rtl/>
        </w:rPr>
        <w:t xml:space="preserve"> </w:t>
      </w:r>
      <w:r>
        <w:rPr>
          <w:rFonts w:cs="David" w:hint="cs"/>
          <w:sz w:val="24"/>
          <w:szCs w:val="24"/>
          <w:rtl/>
        </w:rPr>
        <w:t>אשר כפי שהראינו קודם נתפסת כלא אפקטיבית למניעת בחירות בקרוב</w:t>
      </w:r>
      <w:r w:rsidR="00DA5084">
        <w:rPr>
          <w:rFonts w:cs="David" w:hint="cs"/>
          <w:sz w:val="24"/>
          <w:szCs w:val="24"/>
          <w:rtl/>
        </w:rPr>
        <w:t xml:space="preserve"> </w:t>
      </w:r>
      <w:r w:rsidR="000E3595">
        <w:rPr>
          <w:rFonts w:cs="David"/>
          <w:sz w:val="24"/>
          <w:szCs w:val="24"/>
          <w:rtl/>
        </w:rPr>
        <w:t>–</w:t>
      </w:r>
      <w:r>
        <w:rPr>
          <w:rFonts w:cs="David" w:hint="cs"/>
          <w:sz w:val="24"/>
          <w:szCs w:val="24"/>
          <w:rtl/>
        </w:rPr>
        <w:t xml:space="preserve"> הוא כפול משיעור מי שחושבים שנתניהו עשה יותר ויתורים (42% לעומת 22%). פילוח התשובות לפי הצבעה בבחירות האחרונות לכנסת הוא מעניין ביותר: מצביעי כל </w:t>
      </w:r>
      <w:r w:rsidR="00925744">
        <w:rPr>
          <w:rFonts w:cs="David" w:hint="cs"/>
          <w:sz w:val="24"/>
          <w:szCs w:val="24"/>
          <w:rtl/>
        </w:rPr>
        <w:t>ה</w:t>
      </w:r>
      <w:r>
        <w:rPr>
          <w:rFonts w:cs="David" w:hint="cs"/>
          <w:sz w:val="24"/>
          <w:szCs w:val="24"/>
          <w:rtl/>
        </w:rPr>
        <w:t>מפלג</w:t>
      </w:r>
      <w:r w:rsidR="00925744">
        <w:rPr>
          <w:rFonts w:cs="David" w:hint="cs"/>
          <w:sz w:val="24"/>
          <w:szCs w:val="24"/>
          <w:rtl/>
        </w:rPr>
        <w:t>ות</w:t>
      </w:r>
      <w:r>
        <w:rPr>
          <w:rFonts w:cs="David" w:hint="cs"/>
          <w:sz w:val="24"/>
          <w:szCs w:val="24"/>
          <w:rtl/>
        </w:rPr>
        <w:t xml:space="preserve"> סבורים כי מנהיג הצד "שלהם" עשה יותר ויתורים, בין אם הדבר מתפרש בעיניהם כחיובי או כשלילי, מה שאיננו יכולים לדעת מהתשובות לשאלה ששאלנו.</w:t>
      </w:r>
      <w:r w:rsidR="008B216C">
        <w:rPr>
          <w:rFonts w:cs="David" w:hint="cs"/>
          <w:sz w:val="24"/>
          <w:szCs w:val="24"/>
          <w:rtl/>
        </w:rPr>
        <w:t xml:space="preserve"> מצביעי ימינה הם חריגים</w:t>
      </w:r>
      <w:r w:rsidR="00925744">
        <w:rPr>
          <w:rFonts w:cs="David" w:hint="cs"/>
          <w:sz w:val="24"/>
          <w:szCs w:val="24"/>
          <w:rtl/>
        </w:rPr>
        <w:t>,</w:t>
      </w:r>
      <w:r w:rsidR="008B216C">
        <w:rPr>
          <w:rFonts w:cs="David" w:hint="cs"/>
          <w:sz w:val="24"/>
          <w:szCs w:val="24"/>
          <w:rtl/>
        </w:rPr>
        <w:t xml:space="preserve"> שכן אצלם ה</w:t>
      </w:r>
      <w:r w:rsidR="002F676C">
        <w:rPr>
          <w:rFonts w:cs="David" w:hint="cs"/>
          <w:sz w:val="24"/>
          <w:szCs w:val="24"/>
          <w:rtl/>
        </w:rPr>
        <w:t>ש</w:t>
      </w:r>
      <w:r w:rsidR="008B216C">
        <w:rPr>
          <w:rFonts w:cs="David" w:hint="cs"/>
          <w:sz w:val="24"/>
          <w:szCs w:val="24"/>
          <w:rtl/>
        </w:rPr>
        <w:t>יעור הגבוה ביותר הצביעו על כך ששני הצדדים עשו אותה מידה של ויתורים.</w:t>
      </w:r>
    </w:p>
    <w:p w14:paraId="5489C34E" w14:textId="6C2A5646" w:rsidR="002F676C" w:rsidRPr="002F676C" w:rsidRDefault="002F676C" w:rsidP="000E3595">
      <w:pPr>
        <w:spacing w:after="120" w:line="360" w:lineRule="auto"/>
        <w:jc w:val="both"/>
        <w:rPr>
          <w:rFonts w:cs="David"/>
          <w:b/>
          <w:bCs/>
          <w:sz w:val="24"/>
          <w:szCs w:val="24"/>
          <w:rtl/>
        </w:rPr>
      </w:pPr>
      <w:r w:rsidRPr="002F676C">
        <w:rPr>
          <w:rFonts w:cs="David"/>
          <w:b/>
          <w:bCs/>
          <w:sz w:val="24"/>
          <w:szCs w:val="24"/>
          <w:rtl/>
        </w:rPr>
        <w:t>מי לדעתך עשה ויתורים גדולים יותר במסגרת הפשרה בין הליכוד לכחול-לבן שמנעה כרגע הליכה לבחירות?</w:t>
      </w:r>
      <w:r w:rsidRPr="002F676C">
        <w:rPr>
          <w:rFonts w:cs="David" w:hint="cs"/>
          <w:b/>
          <w:bCs/>
          <w:sz w:val="24"/>
          <w:szCs w:val="24"/>
          <w:rtl/>
        </w:rPr>
        <w:t xml:space="preserve"> (%, כלל המדגם, לפי הצבעה בבחירות)</w:t>
      </w:r>
    </w:p>
    <w:p w14:paraId="28E73BD3" w14:textId="73EE15A2" w:rsidR="002D5742" w:rsidRDefault="002D5742" w:rsidP="002D5742">
      <w:pPr>
        <w:spacing w:before="240" w:after="120" w:line="360" w:lineRule="auto"/>
        <w:jc w:val="both"/>
        <w:rPr>
          <w:rFonts w:cs="David"/>
          <w:sz w:val="24"/>
          <w:szCs w:val="24"/>
          <w:rtl/>
        </w:rPr>
      </w:pPr>
      <w:r w:rsidRPr="002F676C">
        <w:rPr>
          <w:rFonts w:cs="David"/>
          <w:noProof/>
          <w:sz w:val="24"/>
          <w:szCs w:val="24"/>
          <w:rtl/>
        </w:rPr>
        <w:drawing>
          <wp:inline distT="0" distB="0" distL="0" distR="0" wp14:anchorId="0FC0E31D" wp14:editId="0409D109">
            <wp:extent cx="5486400" cy="4333875"/>
            <wp:effectExtent l="0" t="0" r="0" b="0"/>
            <wp:docPr id="11"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600872" w14:textId="77777777" w:rsidR="00534838" w:rsidRDefault="00534838" w:rsidP="00534838">
      <w:pPr>
        <w:spacing w:after="0" w:line="276" w:lineRule="auto"/>
        <w:ind w:hanging="30"/>
        <w:jc w:val="both"/>
        <w:rPr>
          <w:rFonts w:cs="David"/>
          <w:b/>
          <w:bCs/>
          <w:color w:val="5B9BD5" w:themeColor="accent1"/>
          <w:sz w:val="24"/>
          <w:szCs w:val="24"/>
          <w:rtl/>
        </w:rPr>
      </w:pPr>
    </w:p>
    <w:p w14:paraId="3F72517C" w14:textId="60803FCE" w:rsidR="00811EFD" w:rsidRDefault="00534838" w:rsidP="00925744">
      <w:pPr>
        <w:spacing w:before="240" w:after="120" w:line="360" w:lineRule="auto"/>
        <w:ind w:hanging="30"/>
        <w:jc w:val="both"/>
        <w:rPr>
          <w:rFonts w:cs="David"/>
          <w:b/>
          <w:bCs/>
          <w:color w:val="5B9BD5" w:themeColor="accent1"/>
          <w:sz w:val="24"/>
          <w:szCs w:val="24"/>
          <w:rtl/>
        </w:rPr>
      </w:pPr>
      <w:r>
        <w:rPr>
          <w:rFonts w:cs="David" w:hint="cs"/>
          <w:b/>
          <w:bCs/>
          <w:color w:val="5B9BD5" w:themeColor="accent1"/>
          <w:sz w:val="24"/>
          <w:szCs w:val="24"/>
          <w:rtl/>
        </w:rPr>
        <w:t>המחאה</w:t>
      </w:r>
    </w:p>
    <w:p w14:paraId="2DC7E552" w14:textId="5DDADD71" w:rsidR="007D3E41" w:rsidRPr="00925744" w:rsidRDefault="007D3E41" w:rsidP="00925744">
      <w:pPr>
        <w:spacing w:after="200" w:line="360" w:lineRule="auto"/>
        <w:ind w:left="-30"/>
        <w:jc w:val="both"/>
        <w:rPr>
          <w:rFonts w:cs="David"/>
          <w:sz w:val="24"/>
          <w:szCs w:val="24"/>
        </w:rPr>
      </w:pPr>
      <w:r w:rsidRPr="00925744">
        <w:rPr>
          <w:rFonts w:cs="David" w:hint="cs"/>
          <w:sz w:val="24"/>
          <w:szCs w:val="24"/>
          <w:rtl/>
        </w:rPr>
        <w:t>כעשירית מהמרואיינים אמרו כי הם השתתפו בחודשים האחרונים ב</w:t>
      </w:r>
      <w:r w:rsidRPr="00925744">
        <w:rPr>
          <w:rFonts w:cs="David"/>
          <w:sz w:val="24"/>
          <w:szCs w:val="24"/>
          <w:rtl/>
        </w:rPr>
        <w:t>אחת או יותר מפעולות המחאה נגד מדיניות הממשלה ו</w:t>
      </w:r>
      <w:r w:rsidR="00925744">
        <w:rPr>
          <w:rFonts w:cs="David" w:hint="cs"/>
          <w:sz w:val="24"/>
          <w:szCs w:val="24"/>
          <w:rtl/>
        </w:rPr>
        <w:t>/</w:t>
      </w:r>
      <w:r w:rsidRPr="00925744">
        <w:rPr>
          <w:rFonts w:cs="David"/>
          <w:sz w:val="24"/>
          <w:szCs w:val="24"/>
          <w:rtl/>
        </w:rPr>
        <w:t>או ראש הממשלה נתניהו שהיו בחודשים האחרונים</w:t>
      </w:r>
      <w:r w:rsidRPr="00925744">
        <w:rPr>
          <w:rFonts w:cs="David" w:hint="cs"/>
          <w:sz w:val="24"/>
          <w:szCs w:val="24"/>
          <w:rtl/>
        </w:rPr>
        <w:t>. שיעור המשיבים כך דומה במדגם היהודי ובמדגם הערבים. פילוח של המשיבים לפי מחנה פוליטי</w:t>
      </w:r>
      <w:r w:rsidR="001F66EB" w:rsidRPr="00925744">
        <w:rPr>
          <w:rFonts w:cs="David" w:hint="cs"/>
          <w:b/>
          <w:bCs/>
          <w:color w:val="5B9BD5" w:themeColor="accent1"/>
          <w:sz w:val="24"/>
          <w:szCs w:val="24"/>
          <w:rtl/>
        </w:rPr>
        <w:t xml:space="preserve"> </w:t>
      </w:r>
      <w:r w:rsidR="001F66EB" w:rsidRPr="00925744">
        <w:rPr>
          <w:rFonts w:cs="David" w:hint="cs"/>
          <w:sz w:val="24"/>
          <w:szCs w:val="24"/>
          <w:rtl/>
        </w:rPr>
        <w:t>מעלה הבדלים ניכרים, אבל צפויים.</w:t>
      </w:r>
    </w:p>
    <w:p w14:paraId="1CC7A70B" w14:textId="77777777" w:rsidR="00534838" w:rsidRDefault="00534838" w:rsidP="00925744">
      <w:pPr>
        <w:pStyle w:val="a3"/>
        <w:spacing w:after="200" w:line="360" w:lineRule="auto"/>
        <w:ind w:left="-30"/>
        <w:jc w:val="both"/>
        <w:rPr>
          <w:rFonts w:cs="David"/>
          <w:b/>
          <w:bCs/>
          <w:sz w:val="24"/>
          <w:szCs w:val="24"/>
          <w:rtl/>
        </w:rPr>
      </w:pPr>
    </w:p>
    <w:p w14:paraId="0A2816ED" w14:textId="4689CAA9" w:rsidR="001F66EB" w:rsidRDefault="001F66EB" w:rsidP="00925744">
      <w:pPr>
        <w:pStyle w:val="a3"/>
        <w:spacing w:after="200" w:line="360" w:lineRule="auto"/>
        <w:ind w:left="-30"/>
        <w:jc w:val="both"/>
        <w:rPr>
          <w:rFonts w:cs="David"/>
          <w:b/>
          <w:bCs/>
          <w:sz w:val="24"/>
          <w:szCs w:val="24"/>
          <w:rtl/>
        </w:rPr>
      </w:pPr>
      <w:r w:rsidRPr="001F66EB">
        <w:rPr>
          <w:rFonts w:cs="David" w:hint="cs"/>
          <w:b/>
          <w:bCs/>
          <w:sz w:val="24"/>
          <w:szCs w:val="24"/>
          <w:rtl/>
        </w:rPr>
        <w:lastRenderedPageBreak/>
        <w:t>ה</w:t>
      </w:r>
      <w:r>
        <w:rPr>
          <w:rFonts w:cs="David" w:hint="cs"/>
          <w:b/>
          <w:bCs/>
          <w:sz w:val="24"/>
          <w:szCs w:val="24"/>
          <w:rtl/>
        </w:rPr>
        <w:t>ש</w:t>
      </w:r>
      <w:r w:rsidRPr="001F66EB">
        <w:rPr>
          <w:rFonts w:cs="David" w:hint="cs"/>
          <w:b/>
          <w:bCs/>
          <w:sz w:val="24"/>
          <w:szCs w:val="24"/>
          <w:rtl/>
        </w:rPr>
        <w:t>תתפו בחודשים האחרונים בא</w:t>
      </w:r>
      <w:r w:rsidRPr="001F66EB">
        <w:rPr>
          <w:rtl/>
        </w:rPr>
        <w:t xml:space="preserve"> </w:t>
      </w:r>
      <w:r w:rsidRPr="001F66EB">
        <w:rPr>
          <w:rFonts w:cs="David"/>
          <w:b/>
          <w:bCs/>
          <w:sz w:val="24"/>
          <w:szCs w:val="24"/>
          <w:rtl/>
        </w:rPr>
        <w:t>אחת או יותר מפעולות המחאה נגד מדיניות הממשלה ו|או ראש הממשלה נתניהו שהיו בחודשים האחרונים</w:t>
      </w:r>
      <w:r>
        <w:rPr>
          <w:rFonts w:cs="David" w:hint="cs"/>
          <w:b/>
          <w:bCs/>
          <w:sz w:val="24"/>
          <w:szCs w:val="24"/>
          <w:rtl/>
        </w:rPr>
        <w:t xml:space="preserve"> (%, יהודים, לפי</w:t>
      </w:r>
      <w:r w:rsidR="002F676C">
        <w:rPr>
          <w:rFonts w:cs="David" w:hint="cs"/>
          <w:b/>
          <w:bCs/>
          <w:sz w:val="24"/>
          <w:szCs w:val="24"/>
          <w:rtl/>
        </w:rPr>
        <w:t xml:space="preserve"> </w:t>
      </w:r>
      <w:r>
        <w:rPr>
          <w:rFonts w:cs="David" w:hint="cs"/>
          <w:b/>
          <w:bCs/>
          <w:sz w:val="24"/>
          <w:szCs w:val="24"/>
          <w:rtl/>
        </w:rPr>
        <w:t>מחנה פוליטי)</w:t>
      </w:r>
    </w:p>
    <w:p w14:paraId="110CEA85" w14:textId="17A6149B" w:rsidR="001F66EB" w:rsidRPr="001F66EB" w:rsidRDefault="001F66EB" w:rsidP="00925744">
      <w:pPr>
        <w:pStyle w:val="a3"/>
        <w:spacing w:after="200" w:line="360" w:lineRule="auto"/>
        <w:jc w:val="both"/>
        <w:rPr>
          <w:rFonts w:cs="David"/>
          <w:b/>
          <w:bCs/>
          <w:sz w:val="24"/>
          <w:szCs w:val="24"/>
        </w:rPr>
      </w:pPr>
      <w:r>
        <w:rPr>
          <w:rFonts w:cs="David"/>
          <w:b/>
          <w:bCs/>
          <w:noProof/>
          <w:sz w:val="24"/>
          <w:szCs w:val="24"/>
        </w:rPr>
        <w:drawing>
          <wp:inline distT="0" distB="0" distL="0" distR="0" wp14:anchorId="597138D4" wp14:editId="37A74504">
            <wp:extent cx="4562475" cy="1905000"/>
            <wp:effectExtent l="0" t="0" r="0" b="0"/>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77197F" w14:textId="17FBBE7D" w:rsidR="007D3E41" w:rsidRDefault="001F66EB" w:rsidP="00925744">
      <w:pPr>
        <w:spacing w:after="200" w:line="360" w:lineRule="auto"/>
        <w:ind w:left="-30"/>
        <w:jc w:val="both"/>
        <w:rPr>
          <w:rFonts w:cs="David"/>
          <w:sz w:val="24"/>
          <w:szCs w:val="24"/>
          <w:rtl/>
        </w:rPr>
      </w:pPr>
      <w:r w:rsidRPr="001F66EB">
        <w:rPr>
          <w:rFonts w:cs="David" w:hint="cs"/>
          <w:sz w:val="24"/>
          <w:szCs w:val="24"/>
          <w:rtl/>
        </w:rPr>
        <w:t xml:space="preserve">ניתוח </w:t>
      </w:r>
      <w:r>
        <w:rPr>
          <w:rFonts w:cs="David" w:hint="cs"/>
          <w:sz w:val="24"/>
          <w:szCs w:val="24"/>
          <w:rtl/>
        </w:rPr>
        <w:t xml:space="preserve">התשובות לפי גיל מעלה תמונה יותר מעניינת, אם כי אופיינית לסוג כזה של מחאה </w:t>
      </w:r>
      <w:r>
        <w:rPr>
          <w:rFonts w:cs="David"/>
          <w:sz w:val="24"/>
          <w:szCs w:val="24"/>
          <w:rtl/>
        </w:rPr>
        <w:t>–</w:t>
      </w:r>
      <w:r>
        <w:rPr>
          <w:rFonts w:cs="David" w:hint="cs"/>
          <w:sz w:val="24"/>
          <w:szCs w:val="24"/>
          <w:rtl/>
        </w:rPr>
        <w:t xml:space="preserve"> מתברר שגל המחאה הנוכחי הוא של צעירים מאוד ובעיקר של מבוגרים מאוד, ואילו גילי הביניים נוכחים פחות:</w:t>
      </w:r>
    </w:p>
    <w:p w14:paraId="05050B18" w14:textId="306E193C" w:rsidR="001F66EB" w:rsidRDefault="001F66EB" w:rsidP="00925744">
      <w:pPr>
        <w:pStyle w:val="a3"/>
        <w:spacing w:after="200" w:line="360" w:lineRule="auto"/>
        <w:ind w:left="-30"/>
        <w:jc w:val="both"/>
        <w:rPr>
          <w:rFonts w:cs="David"/>
          <w:b/>
          <w:bCs/>
          <w:sz w:val="24"/>
          <w:szCs w:val="24"/>
          <w:rtl/>
        </w:rPr>
      </w:pPr>
      <w:r w:rsidRPr="001F66EB">
        <w:rPr>
          <w:rFonts w:cs="David" w:hint="cs"/>
          <w:b/>
          <w:bCs/>
          <w:sz w:val="24"/>
          <w:szCs w:val="24"/>
          <w:rtl/>
        </w:rPr>
        <w:t>ה</w:t>
      </w:r>
      <w:r>
        <w:rPr>
          <w:rFonts w:cs="David" w:hint="cs"/>
          <w:b/>
          <w:bCs/>
          <w:sz w:val="24"/>
          <w:szCs w:val="24"/>
          <w:rtl/>
        </w:rPr>
        <w:t>ש</w:t>
      </w:r>
      <w:r w:rsidRPr="001F66EB">
        <w:rPr>
          <w:rFonts w:cs="David" w:hint="cs"/>
          <w:b/>
          <w:bCs/>
          <w:sz w:val="24"/>
          <w:szCs w:val="24"/>
          <w:rtl/>
        </w:rPr>
        <w:t>תתפו בחודשים האחרונים בא</w:t>
      </w:r>
      <w:r w:rsidRPr="001F66EB">
        <w:rPr>
          <w:rtl/>
        </w:rPr>
        <w:t xml:space="preserve"> </w:t>
      </w:r>
      <w:r w:rsidRPr="001F66EB">
        <w:rPr>
          <w:rFonts w:cs="David"/>
          <w:b/>
          <w:bCs/>
          <w:sz w:val="24"/>
          <w:szCs w:val="24"/>
          <w:rtl/>
        </w:rPr>
        <w:t>אחת או יותר מפעולות המחאה נגד מדיניות הממשלה ו</w:t>
      </w:r>
      <w:r w:rsidR="00925744">
        <w:rPr>
          <w:rFonts w:cs="David" w:hint="cs"/>
          <w:b/>
          <w:bCs/>
          <w:sz w:val="24"/>
          <w:szCs w:val="24"/>
          <w:rtl/>
        </w:rPr>
        <w:t>/</w:t>
      </w:r>
      <w:r w:rsidRPr="001F66EB">
        <w:rPr>
          <w:rFonts w:cs="David"/>
          <w:b/>
          <w:bCs/>
          <w:sz w:val="24"/>
          <w:szCs w:val="24"/>
          <w:rtl/>
        </w:rPr>
        <w:t>או ראש הממשלה נתניהו שהיו בחודשים האחרונים</w:t>
      </w:r>
      <w:r>
        <w:rPr>
          <w:rFonts w:cs="David" w:hint="cs"/>
          <w:b/>
          <w:bCs/>
          <w:sz w:val="24"/>
          <w:szCs w:val="24"/>
          <w:rtl/>
        </w:rPr>
        <w:t xml:space="preserve"> (%, כלל המדגם, לפי גיל)</w:t>
      </w:r>
    </w:p>
    <w:p w14:paraId="325C49D8" w14:textId="416323D1" w:rsidR="001F66EB" w:rsidRDefault="001F66EB" w:rsidP="00534838">
      <w:pPr>
        <w:pStyle w:val="a3"/>
        <w:spacing w:before="240" w:after="200" w:line="360" w:lineRule="auto"/>
        <w:ind w:hanging="467"/>
        <w:jc w:val="both"/>
        <w:rPr>
          <w:rFonts w:cs="David"/>
          <w:b/>
          <w:bCs/>
          <w:sz w:val="24"/>
          <w:szCs w:val="24"/>
          <w:rtl/>
        </w:rPr>
      </w:pPr>
      <w:r>
        <w:rPr>
          <w:rFonts w:cs="David"/>
          <w:b/>
          <w:bCs/>
          <w:noProof/>
          <w:sz w:val="24"/>
          <w:szCs w:val="24"/>
          <w:rtl/>
        </w:rPr>
        <w:drawing>
          <wp:inline distT="0" distB="0" distL="0" distR="0" wp14:anchorId="1361D9C7" wp14:editId="45639CAF">
            <wp:extent cx="5067300" cy="2247900"/>
            <wp:effectExtent l="0" t="0" r="0" b="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3B6E7E" w14:textId="72925DE2" w:rsidR="001F66EB" w:rsidRPr="00010C49" w:rsidRDefault="00DB6651" w:rsidP="006E799D">
      <w:pPr>
        <w:spacing w:before="240" w:after="200" w:line="360" w:lineRule="auto"/>
        <w:ind w:left="-30"/>
        <w:jc w:val="both"/>
        <w:rPr>
          <w:rFonts w:cs="David"/>
          <w:sz w:val="24"/>
          <w:szCs w:val="24"/>
          <w:u w:val="single"/>
          <w:rtl/>
        </w:rPr>
      </w:pPr>
      <w:r w:rsidRPr="00010C49">
        <w:rPr>
          <w:rFonts w:cs="David" w:hint="cs"/>
          <w:sz w:val="24"/>
          <w:szCs w:val="24"/>
          <w:u w:val="single"/>
          <w:rtl/>
        </w:rPr>
        <w:t>מי אחראי</w:t>
      </w:r>
      <w:r w:rsidR="002F676C">
        <w:rPr>
          <w:rFonts w:cs="David" w:hint="cs"/>
          <w:sz w:val="24"/>
          <w:szCs w:val="24"/>
          <w:u w:val="single"/>
          <w:rtl/>
        </w:rPr>
        <w:t xml:space="preserve"> </w:t>
      </w:r>
      <w:r w:rsidRPr="00010C49">
        <w:rPr>
          <w:rFonts w:cs="David" w:hint="cs"/>
          <w:sz w:val="24"/>
          <w:szCs w:val="24"/>
          <w:u w:val="single"/>
          <w:rtl/>
        </w:rPr>
        <w:t xml:space="preserve">יותר </w:t>
      </w:r>
      <w:r w:rsidR="00010C49">
        <w:rPr>
          <w:rFonts w:cs="David" w:hint="cs"/>
          <w:sz w:val="24"/>
          <w:szCs w:val="24"/>
          <w:u w:val="single"/>
          <w:rtl/>
        </w:rPr>
        <w:t>לעימותים המתפתחים בין המפגינים למשטרה</w:t>
      </w:r>
      <w:r w:rsidRPr="00010C49">
        <w:rPr>
          <w:rFonts w:cs="David" w:hint="cs"/>
          <w:sz w:val="24"/>
          <w:szCs w:val="24"/>
          <w:u w:val="single"/>
          <w:rtl/>
        </w:rPr>
        <w:t>?</w:t>
      </w:r>
    </w:p>
    <w:p w14:paraId="5C9AAA3A" w14:textId="77777777" w:rsidR="00B114EC" w:rsidRPr="006F0776" w:rsidRDefault="00B114EC" w:rsidP="00534838">
      <w:pPr>
        <w:spacing w:after="0" w:line="360" w:lineRule="auto"/>
        <w:ind w:left="-30"/>
        <w:jc w:val="both"/>
        <w:rPr>
          <w:rFonts w:cs="David"/>
          <w:sz w:val="24"/>
          <w:szCs w:val="24"/>
        </w:rPr>
      </w:pPr>
      <w:r w:rsidRPr="006F0776">
        <w:rPr>
          <w:rFonts w:cs="David" w:hint="cs"/>
          <w:sz w:val="24"/>
          <w:szCs w:val="24"/>
          <w:rtl/>
        </w:rPr>
        <w:t>הציבור בישראל חלוק בדעותיו מי אחראי לעימותים בין המפגינים למשטרה. כשליש סבורים שהמפגינים אחראים יותר לעימותים אלה, שיעור דומה (31%) סבורים שהמשטרה אחראית וכרבע ציינו כי שני הצדדים אחראיים באותה המידה.</w:t>
      </w:r>
    </w:p>
    <w:p w14:paraId="057FB22A" w14:textId="6EBD68CA" w:rsidR="00DB6651" w:rsidRPr="006F0776" w:rsidRDefault="00DB6651" w:rsidP="00534838">
      <w:pPr>
        <w:spacing w:after="0" w:line="360" w:lineRule="auto"/>
        <w:ind w:left="-30"/>
        <w:jc w:val="both"/>
        <w:rPr>
          <w:rFonts w:cs="David"/>
          <w:sz w:val="24"/>
          <w:szCs w:val="24"/>
        </w:rPr>
      </w:pPr>
      <w:r w:rsidRPr="006F0776">
        <w:rPr>
          <w:rFonts w:cs="David" w:hint="cs"/>
          <w:sz w:val="24"/>
          <w:szCs w:val="24"/>
          <w:rtl/>
        </w:rPr>
        <w:t xml:space="preserve">במדגם היהודי השיעור הגבוה יותר מטילים את האחריות </w:t>
      </w:r>
      <w:r w:rsidR="00010C49" w:rsidRPr="006F0776">
        <w:rPr>
          <w:rFonts w:cs="David" w:hint="cs"/>
          <w:sz w:val="24"/>
          <w:szCs w:val="24"/>
          <w:rtl/>
        </w:rPr>
        <w:t xml:space="preserve">לעימותים </w:t>
      </w:r>
      <w:r w:rsidRPr="006F0776">
        <w:rPr>
          <w:rFonts w:cs="David" w:hint="cs"/>
          <w:sz w:val="24"/>
          <w:szCs w:val="24"/>
          <w:rtl/>
        </w:rPr>
        <w:t xml:space="preserve">בהפגנות </w:t>
      </w:r>
      <w:r w:rsidR="00010C49" w:rsidRPr="006F0776">
        <w:rPr>
          <w:rFonts w:cs="David" w:hint="cs"/>
          <w:sz w:val="24"/>
          <w:szCs w:val="24"/>
          <w:rtl/>
        </w:rPr>
        <w:t xml:space="preserve">יותר </w:t>
      </w:r>
      <w:r w:rsidRPr="006F0776">
        <w:rPr>
          <w:rFonts w:cs="David" w:hint="cs"/>
          <w:sz w:val="24"/>
          <w:szCs w:val="24"/>
          <w:rtl/>
        </w:rPr>
        <w:t>על כתפי המפגינים</w:t>
      </w:r>
      <w:r w:rsidR="00B114EC" w:rsidRPr="006F0776">
        <w:rPr>
          <w:rFonts w:cs="David" w:hint="cs"/>
          <w:sz w:val="24"/>
          <w:szCs w:val="24"/>
          <w:rtl/>
        </w:rPr>
        <w:t xml:space="preserve">, ובמדגם הערבי </w:t>
      </w:r>
      <w:r w:rsidR="00B114EC" w:rsidRPr="006F0776">
        <w:rPr>
          <w:rFonts w:cs="David"/>
          <w:sz w:val="24"/>
          <w:szCs w:val="24"/>
          <w:rtl/>
        </w:rPr>
        <w:t>–</w:t>
      </w:r>
      <w:r w:rsidR="00B114EC" w:rsidRPr="006F0776">
        <w:rPr>
          <w:rFonts w:cs="David" w:hint="cs"/>
          <w:sz w:val="24"/>
          <w:szCs w:val="24"/>
          <w:rtl/>
        </w:rPr>
        <w:t xml:space="preserve"> על המשטרה.</w:t>
      </w:r>
    </w:p>
    <w:p w14:paraId="3DDD506F" w14:textId="2EC464ED" w:rsidR="006E799D" w:rsidRDefault="006E799D" w:rsidP="006F0776">
      <w:pPr>
        <w:spacing w:after="0" w:line="360" w:lineRule="auto"/>
        <w:ind w:left="395" w:hanging="425"/>
        <w:jc w:val="both"/>
        <w:rPr>
          <w:rFonts w:cs="David"/>
          <w:b/>
          <w:bCs/>
          <w:sz w:val="24"/>
          <w:szCs w:val="24"/>
          <w:rtl/>
        </w:rPr>
      </w:pPr>
      <w:r w:rsidRPr="006E799D">
        <w:rPr>
          <w:rFonts w:cs="David"/>
          <w:b/>
          <w:bCs/>
          <w:sz w:val="24"/>
          <w:szCs w:val="24"/>
          <w:rtl/>
        </w:rPr>
        <w:t>מי לדעתך אחראי יותר לעימותים המתפתחים לאחרונה בין המשטרה למפגינים?</w:t>
      </w:r>
      <w:r>
        <w:rPr>
          <w:rFonts w:cs="David" w:hint="cs"/>
          <w:b/>
          <w:bCs/>
          <w:sz w:val="24"/>
          <w:szCs w:val="24"/>
          <w:rtl/>
        </w:rPr>
        <w:t xml:space="preserve"> (%, יהודים וערבים)</w:t>
      </w:r>
    </w:p>
    <w:tbl>
      <w:tblPr>
        <w:tblStyle w:val="a4"/>
        <w:bidiVisual/>
        <w:tblW w:w="0" w:type="auto"/>
        <w:tblInd w:w="645" w:type="dxa"/>
        <w:tblLook w:val="04A0" w:firstRow="1" w:lastRow="0" w:firstColumn="1" w:lastColumn="0" w:noHBand="0" w:noVBand="1"/>
      </w:tblPr>
      <w:tblGrid>
        <w:gridCol w:w="2693"/>
        <w:gridCol w:w="1816"/>
        <w:gridCol w:w="1813"/>
      </w:tblGrid>
      <w:tr w:rsidR="006E799D" w14:paraId="55D3D3B0" w14:textId="77777777" w:rsidTr="006E799D">
        <w:tc>
          <w:tcPr>
            <w:tcW w:w="2693" w:type="dxa"/>
            <w:shd w:val="clear" w:color="auto" w:fill="D9D9D9" w:themeFill="background1" w:themeFillShade="D9"/>
          </w:tcPr>
          <w:p w14:paraId="1A8BD7C6" w14:textId="77777777" w:rsidR="006E799D" w:rsidRDefault="006E799D" w:rsidP="006E799D">
            <w:pPr>
              <w:spacing w:line="360" w:lineRule="auto"/>
              <w:jc w:val="both"/>
              <w:rPr>
                <w:rFonts w:cs="David"/>
                <w:sz w:val="24"/>
                <w:szCs w:val="24"/>
                <w:rtl/>
              </w:rPr>
            </w:pPr>
          </w:p>
        </w:tc>
        <w:tc>
          <w:tcPr>
            <w:tcW w:w="1816" w:type="dxa"/>
            <w:shd w:val="clear" w:color="auto" w:fill="D9D9D9" w:themeFill="background1" w:themeFillShade="D9"/>
          </w:tcPr>
          <w:p w14:paraId="01E187F9" w14:textId="18BAF2A9" w:rsidR="006E799D" w:rsidRDefault="006E799D" w:rsidP="006E799D">
            <w:pPr>
              <w:spacing w:line="360" w:lineRule="auto"/>
              <w:jc w:val="center"/>
              <w:rPr>
                <w:rFonts w:cs="David"/>
                <w:sz w:val="24"/>
                <w:szCs w:val="24"/>
                <w:rtl/>
              </w:rPr>
            </w:pPr>
            <w:r>
              <w:rPr>
                <w:rFonts w:cs="David" w:hint="cs"/>
                <w:sz w:val="24"/>
                <w:szCs w:val="24"/>
                <w:rtl/>
              </w:rPr>
              <w:t>יהודים</w:t>
            </w:r>
          </w:p>
        </w:tc>
        <w:tc>
          <w:tcPr>
            <w:tcW w:w="1813" w:type="dxa"/>
            <w:shd w:val="clear" w:color="auto" w:fill="D9D9D9" w:themeFill="background1" w:themeFillShade="D9"/>
          </w:tcPr>
          <w:p w14:paraId="442A020C" w14:textId="56FC0C5E" w:rsidR="006E799D" w:rsidRDefault="006E799D" w:rsidP="006E799D">
            <w:pPr>
              <w:spacing w:line="360" w:lineRule="auto"/>
              <w:jc w:val="center"/>
              <w:rPr>
                <w:rFonts w:cs="David"/>
                <w:sz w:val="24"/>
                <w:szCs w:val="24"/>
                <w:rtl/>
              </w:rPr>
            </w:pPr>
            <w:r>
              <w:rPr>
                <w:rFonts w:cs="David" w:hint="cs"/>
                <w:sz w:val="24"/>
                <w:szCs w:val="24"/>
                <w:rtl/>
              </w:rPr>
              <w:t>ערבים</w:t>
            </w:r>
          </w:p>
        </w:tc>
      </w:tr>
      <w:tr w:rsidR="006E799D" w14:paraId="6BE15135" w14:textId="77777777" w:rsidTr="006E799D">
        <w:tc>
          <w:tcPr>
            <w:tcW w:w="2693" w:type="dxa"/>
            <w:shd w:val="clear" w:color="auto" w:fill="D9D9D9" w:themeFill="background1" w:themeFillShade="D9"/>
          </w:tcPr>
          <w:p w14:paraId="3A6CF1C9" w14:textId="5DAC220F" w:rsidR="006E799D" w:rsidRDefault="006E799D" w:rsidP="006E799D">
            <w:pPr>
              <w:spacing w:line="360" w:lineRule="auto"/>
              <w:jc w:val="both"/>
              <w:rPr>
                <w:rFonts w:cs="David"/>
                <w:sz w:val="24"/>
                <w:szCs w:val="24"/>
                <w:rtl/>
              </w:rPr>
            </w:pPr>
            <w:r>
              <w:rPr>
                <w:rFonts w:cs="David" w:hint="cs"/>
                <w:sz w:val="24"/>
                <w:szCs w:val="24"/>
                <w:rtl/>
              </w:rPr>
              <w:t>המשטרה יותר אחראית</w:t>
            </w:r>
          </w:p>
        </w:tc>
        <w:tc>
          <w:tcPr>
            <w:tcW w:w="1816" w:type="dxa"/>
          </w:tcPr>
          <w:p w14:paraId="0084869D" w14:textId="39692843" w:rsidR="006E799D" w:rsidRDefault="006E799D" w:rsidP="006E799D">
            <w:pPr>
              <w:spacing w:line="360" w:lineRule="auto"/>
              <w:jc w:val="center"/>
              <w:rPr>
                <w:rFonts w:cs="David"/>
                <w:sz w:val="24"/>
                <w:szCs w:val="24"/>
                <w:rtl/>
              </w:rPr>
            </w:pPr>
            <w:r>
              <w:rPr>
                <w:rFonts w:cs="David" w:hint="cs"/>
                <w:sz w:val="24"/>
                <w:szCs w:val="24"/>
                <w:rtl/>
              </w:rPr>
              <w:t>28.5</w:t>
            </w:r>
          </w:p>
        </w:tc>
        <w:tc>
          <w:tcPr>
            <w:tcW w:w="1813" w:type="dxa"/>
          </w:tcPr>
          <w:p w14:paraId="772CD94C" w14:textId="055F457F" w:rsidR="006E799D" w:rsidRDefault="00B114EC" w:rsidP="006E799D">
            <w:pPr>
              <w:spacing w:line="360" w:lineRule="auto"/>
              <w:jc w:val="center"/>
              <w:rPr>
                <w:rFonts w:cs="David"/>
                <w:sz w:val="24"/>
                <w:szCs w:val="24"/>
                <w:rtl/>
              </w:rPr>
            </w:pPr>
            <w:r>
              <w:rPr>
                <w:rFonts w:cs="David" w:hint="cs"/>
                <w:sz w:val="24"/>
                <w:szCs w:val="24"/>
                <w:rtl/>
              </w:rPr>
              <w:t>42</w:t>
            </w:r>
          </w:p>
        </w:tc>
      </w:tr>
      <w:tr w:rsidR="006E799D" w14:paraId="07AEB0BD" w14:textId="77777777" w:rsidTr="006E799D">
        <w:tc>
          <w:tcPr>
            <w:tcW w:w="2693" w:type="dxa"/>
            <w:shd w:val="clear" w:color="auto" w:fill="D9D9D9" w:themeFill="background1" w:themeFillShade="D9"/>
          </w:tcPr>
          <w:p w14:paraId="3DF55803" w14:textId="722949C3" w:rsidR="006E799D" w:rsidRDefault="006E799D" w:rsidP="006E799D">
            <w:pPr>
              <w:spacing w:line="360" w:lineRule="auto"/>
              <w:jc w:val="both"/>
              <w:rPr>
                <w:rFonts w:cs="David"/>
                <w:sz w:val="24"/>
                <w:szCs w:val="24"/>
                <w:rtl/>
              </w:rPr>
            </w:pPr>
            <w:r>
              <w:rPr>
                <w:rFonts w:cs="David" w:hint="cs"/>
                <w:sz w:val="24"/>
                <w:szCs w:val="24"/>
                <w:rtl/>
              </w:rPr>
              <w:t>המפגינים יותר אחראים</w:t>
            </w:r>
          </w:p>
        </w:tc>
        <w:tc>
          <w:tcPr>
            <w:tcW w:w="1816" w:type="dxa"/>
          </w:tcPr>
          <w:p w14:paraId="083E4B60" w14:textId="123A58ED" w:rsidR="006E799D" w:rsidRDefault="006E799D" w:rsidP="006E799D">
            <w:pPr>
              <w:spacing w:line="360" w:lineRule="auto"/>
              <w:jc w:val="center"/>
              <w:rPr>
                <w:rFonts w:cs="David"/>
                <w:sz w:val="24"/>
                <w:szCs w:val="24"/>
                <w:rtl/>
              </w:rPr>
            </w:pPr>
            <w:r>
              <w:rPr>
                <w:rFonts w:cs="David" w:hint="cs"/>
                <w:sz w:val="24"/>
                <w:szCs w:val="24"/>
                <w:rtl/>
              </w:rPr>
              <w:t>38</w:t>
            </w:r>
          </w:p>
        </w:tc>
        <w:tc>
          <w:tcPr>
            <w:tcW w:w="1813" w:type="dxa"/>
          </w:tcPr>
          <w:p w14:paraId="58DE6502" w14:textId="32F9D934" w:rsidR="006E799D" w:rsidRDefault="00B114EC" w:rsidP="006E799D">
            <w:pPr>
              <w:spacing w:line="360" w:lineRule="auto"/>
              <w:jc w:val="center"/>
              <w:rPr>
                <w:rFonts w:cs="David"/>
                <w:sz w:val="24"/>
                <w:szCs w:val="24"/>
                <w:rtl/>
              </w:rPr>
            </w:pPr>
            <w:r>
              <w:rPr>
                <w:rFonts w:cs="David" w:hint="cs"/>
                <w:sz w:val="24"/>
                <w:szCs w:val="24"/>
                <w:rtl/>
              </w:rPr>
              <w:t>13</w:t>
            </w:r>
          </w:p>
        </w:tc>
      </w:tr>
      <w:tr w:rsidR="006E799D" w14:paraId="390E0B94" w14:textId="77777777" w:rsidTr="006E799D">
        <w:tc>
          <w:tcPr>
            <w:tcW w:w="2693" w:type="dxa"/>
            <w:shd w:val="clear" w:color="auto" w:fill="D9D9D9" w:themeFill="background1" w:themeFillShade="D9"/>
          </w:tcPr>
          <w:p w14:paraId="34501699" w14:textId="4DBB10C0" w:rsidR="006E799D" w:rsidRDefault="006E799D" w:rsidP="006E799D">
            <w:pPr>
              <w:spacing w:line="360" w:lineRule="auto"/>
              <w:jc w:val="both"/>
              <w:rPr>
                <w:rFonts w:cs="David"/>
                <w:sz w:val="24"/>
                <w:szCs w:val="24"/>
                <w:rtl/>
              </w:rPr>
            </w:pPr>
            <w:r>
              <w:rPr>
                <w:rFonts w:cs="David" w:hint="cs"/>
                <w:sz w:val="24"/>
                <w:szCs w:val="24"/>
                <w:rtl/>
              </w:rPr>
              <w:t>שני הצדדים באותה המידה</w:t>
            </w:r>
          </w:p>
        </w:tc>
        <w:tc>
          <w:tcPr>
            <w:tcW w:w="1816" w:type="dxa"/>
          </w:tcPr>
          <w:p w14:paraId="7F7FCD10" w14:textId="5841A43F" w:rsidR="006E799D" w:rsidRDefault="00B114EC" w:rsidP="006E799D">
            <w:pPr>
              <w:spacing w:line="360" w:lineRule="auto"/>
              <w:jc w:val="center"/>
              <w:rPr>
                <w:rFonts w:cs="David"/>
                <w:sz w:val="24"/>
                <w:szCs w:val="24"/>
                <w:rtl/>
              </w:rPr>
            </w:pPr>
            <w:r>
              <w:rPr>
                <w:rFonts w:cs="David" w:hint="cs"/>
                <w:sz w:val="24"/>
                <w:szCs w:val="24"/>
                <w:rtl/>
              </w:rPr>
              <w:t>25</w:t>
            </w:r>
          </w:p>
        </w:tc>
        <w:tc>
          <w:tcPr>
            <w:tcW w:w="1813" w:type="dxa"/>
          </w:tcPr>
          <w:p w14:paraId="64EAD037" w14:textId="360E5EFB" w:rsidR="006E799D" w:rsidRDefault="00B114EC" w:rsidP="006E799D">
            <w:pPr>
              <w:spacing w:line="360" w:lineRule="auto"/>
              <w:jc w:val="center"/>
              <w:rPr>
                <w:rFonts w:cs="David"/>
                <w:sz w:val="24"/>
                <w:szCs w:val="24"/>
                <w:rtl/>
              </w:rPr>
            </w:pPr>
            <w:r>
              <w:rPr>
                <w:rFonts w:cs="David" w:hint="cs"/>
                <w:sz w:val="24"/>
                <w:szCs w:val="24"/>
                <w:rtl/>
              </w:rPr>
              <w:t>23</w:t>
            </w:r>
          </w:p>
        </w:tc>
      </w:tr>
      <w:tr w:rsidR="006E799D" w14:paraId="331540D1" w14:textId="77777777" w:rsidTr="006E799D">
        <w:tc>
          <w:tcPr>
            <w:tcW w:w="2693" w:type="dxa"/>
            <w:shd w:val="clear" w:color="auto" w:fill="D9D9D9" w:themeFill="background1" w:themeFillShade="D9"/>
          </w:tcPr>
          <w:p w14:paraId="4FB4425D" w14:textId="3BF5C9B9" w:rsidR="006E799D" w:rsidRDefault="006E799D" w:rsidP="006E799D">
            <w:pPr>
              <w:spacing w:line="360" w:lineRule="auto"/>
              <w:jc w:val="both"/>
              <w:rPr>
                <w:rFonts w:cs="David"/>
                <w:sz w:val="24"/>
                <w:szCs w:val="24"/>
                <w:rtl/>
              </w:rPr>
            </w:pPr>
            <w:r>
              <w:rPr>
                <w:rFonts w:cs="David" w:hint="cs"/>
                <w:sz w:val="24"/>
                <w:szCs w:val="24"/>
                <w:rtl/>
              </w:rPr>
              <w:t>לא יודעים</w:t>
            </w:r>
          </w:p>
        </w:tc>
        <w:tc>
          <w:tcPr>
            <w:tcW w:w="1816" w:type="dxa"/>
          </w:tcPr>
          <w:p w14:paraId="5162CC51" w14:textId="6946EE75" w:rsidR="006E799D" w:rsidRDefault="00B114EC" w:rsidP="006E799D">
            <w:pPr>
              <w:spacing w:line="360" w:lineRule="auto"/>
              <w:jc w:val="center"/>
              <w:rPr>
                <w:rFonts w:cs="David"/>
                <w:sz w:val="24"/>
                <w:szCs w:val="24"/>
                <w:rtl/>
              </w:rPr>
            </w:pPr>
            <w:r>
              <w:rPr>
                <w:rFonts w:cs="David" w:hint="cs"/>
                <w:sz w:val="24"/>
                <w:szCs w:val="24"/>
                <w:rtl/>
              </w:rPr>
              <w:t>8.5</w:t>
            </w:r>
          </w:p>
        </w:tc>
        <w:tc>
          <w:tcPr>
            <w:tcW w:w="1813" w:type="dxa"/>
          </w:tcPr>
          <w:p w14:paraId="564513CB" w14:textId="605E9AC6" w:rsidR="006E799D" w:rsidRDefault="00B114EC" w:rsidP="006E799D">
            <w:pPr>
              <w:spacing w:line="360" w:lineRule="auto"/>
              <w:jc w:val="center"/>
              <w:rPr>
                <w:rFonts w:cs="David"/>
                <w:sz w:val="24"/>
                <w:szCs w:val="24"/>
                <w:rtl/>
              </w:rPr>
            </w:pPr>
            <w:r>
              <w:rPr>
                <w:rFonts w:cs="David" w:hint="cs"/>
                <w:sz w:val="24"/>
                <w:szCs w:val="24"/>
                <w:rtl/>
              </w:rPr>
              <w:t>22</w:t>
            </w:r>
          </w:p>
        </w:tc>
      </w:tr>
      <w:tr w:rsidR="006E799D" w14:paraId="0EF78107" w14:textId="77777777" w:rsidTr="006E799D">
        <w:tc>
          <w:tcPr>
            <w:tcW w:w="2693" w:type="dxa"/>
            <w:shd w:val="clear" w:color="auto" w:fill="D9D9D9" w:themeFill="background1" w:themeFillShade="D9"/>
          </w:tcPr>
          <w:p w14:paraId="44F134CA" w14:textId="39E80A4F" w:rsidR="006E799D" w:rsidRDefault="006E799D" w:rsidP="006E799D">
            <w:pPr>
              <w:spacing w:line="360" w:lineRule="auto"/>
              <w:jc w:val="both"/>
              <w:rPr>
                <w:rFonts w:cs="David"/>
                <w:sz w:val="24"/>
                <w:szCs w:val="24"/>
                <w:rtl/>
              </w:rPr>
            </w:pPr>
            <w:r>
              <w:rPr>
                <w:rFonts w:cs="David" w:hint="cs"/>
                <w:sz w:val="24"/>
                <w:szCs w:val="24"/>
                <w:rtl/>
              </w:rPr>
              <w:t>סה"כ</w:t>
            </w:r>
          </w:p>
        </w:tc>
        <w:tc>
          <w:tcPr>
            <w:tcW w:w="1816" w:type="dxa"/>
          </w:tcPr>
          <w:p w14:paraId="7482F49C" w14:textId="15E058AF" w:rsidR="006E799D" w:rsidRDefault="006E799D" w:rsidP="006E799D">
            <w:pPr>
              <w:spacing w:line="360" w:lineRule="auto"/>
              <w:jc w:val="center"/>
              <w:rPr>
                <w:rFonts w:cs="David"/>
                <w:sz w:val="24"/>
                <w:szCs w:val="24"/>
                <w:rtl/>
              </w:rPr>
            </w:pPr>
            <w:r>
              <w:rPr>
                <w:rFonts w:cs="David" w:hint="cs"/>
                <w:sz w:val="24"/>
                <w:szCs w:val="24"/>
                <w:rtl/>
              </w:rPr>
              <w:t>100</w:t>
            </w:r>
          </w:p>
        </w:tc>
        <w:tc>
          <w:tcPr>
            <w:tcW w:w="1813" w:type="dxa"/>
          </w:tcPr>
          <w:p w14:paraId="5EEEEC99" w14:textId="5AB6FF33" w:rsidR="006E799D" w:rsidRDefault="006E799D" w:rsidP="006E799D">
            <w:pPr>
              <w:spacing w:line="360" w:lineRule="auto"/>
              <w:jc w:val="center"/>
              <w:rPr>
                <w:rFonts w:cs="David"/>
                <w:sz w:val="24"/>
                <w:szCs w:val="24"/>
                <w:rtl/>
              </w:rPr>
            </w:pPr>
            <w:r>
              <w:rPr>
                <w:rFonts w:cs="David" w:hint="cs"/>
                <w:sz w:val="24"/>
                <w:szCs w:val="24"/>
                <w:rtl/>
              </w:rPr>
              <w:t>100</w:t>
            </w:r>
          </w:p>
        </w:tc>
      </w:tr>
    </w:tbl>
    <w:p w14:paraId="3B024CAF" w14:textId="1A9DFD9C" w:rsidR="00DB6651" w:rsidRPr="006F0776" w:rsidRDefault="00010C49" w:rsidP="006F0776">
      <w:pPr>
        <w:spacing w:before="240" w:after="200" w:line="360" w:lineRule="auto"/>
        <w:ind w:left="-30"/>
        <w:jc w:val="both"/>
        <w:rPr>
          <w:rFonts w:cs="David"/>
          <w:sz w:val="24"/>
          <w:szCs w:val="24"/>
        </w:rPr>
      </w:pPr>
      <w:r w:rsidRPr="006F0776">
        <w:rPr>
          <w:rFonts w:cs="David" w:hint="cs"/>
          <w:sz w:val="24"/>
          <w:szCs w:val="24"/>
          <w:rtl/>
        </w:rPr>
        <w:lastRenderedPageBreak/>
        <w:t>פילוח לפי מחנה פוליטי (יהודים) מעלה שוב</w:t>
      </w:r>
      <w:r w:rsidR="00B114EC" w:rsidRPr="006F0776">
        <w:rPr>
          <w:rFonts w:cs="David" w:hint="cs"/>
          <w:sz w:val="24"/>
          <w:szCs w:val="24"/>
          <w:rtl/>
        </w:rPr>
        <w:t>,</w:t>
      </w:r>
      <w:r w:rsidRPr="006F0776">
        <w:rPr>
          <w:rFonts w:cs="David" w:hint="cs"/>
          <w:sz w:val="24"/>
          <w:szCs w:val="24"/>
          <w:rtl/>
        </w:rPr>
        <w:t xml:space="preserve"> כצפוי</w:t>
      </w:r>
      <w:r w:rsidR="00B114EC" w:rsidRPr="006F0776">
        <w:rPr>
          <w:rFonts w:cs="David" w:hint="cs"/>
          <w:sz w:val="24"/>
          <w:szCs w:val="24"/>
          <w:rtl/>
        </w:rPr>
        <w:t>,</w:t>
      </w:r>
      <w:r w:rsidRPr="006F0776">
        <w:rPr>
          <w:rFonts w:cs="David" w:hint="cs"/>
          <w:sz w:val="24"/>
          <w:szCs w:val="24"/>
          <w:rtl/>
        </w:rPr>
        <w:t xml:space="preserve"> כי מחנה השמאל מטיל את </w:t>
      </w:r>
      <w:r w:rsidR="00945ED1" w:rsidRPr="006F0776">
        <w:rPr>
          <w:rFonts w:cs="David" w:hint="cs"/>
          <w:sz w:val="24"/>
          <w:szCs w:val="24"/>
          <w:rtl/>
        </w:rPr>
        <w:t xml:space="preserve">רוב </w:t>
      </w:r>
      <w:r w:rsidRPr="006F0776">
        <w:rPr>
          <w:rFonts w:cs="David" w:hint="cs"/>
          <w:sz w:val="24"/>
          <w:szCs w:val="24"/>
          <w:rtl/>
        </w:rPr>
        <w:t>כובד האחריות לעימותים על המשטרה ו</w:t>
      </w:r>
      <w:r w:rsidR="00B114EC" w:rsidRPr="006F0776">
        <w:rPr>
          <w:rFonts w:cs="David" w:hint="cs"/>
          <w:sz w:val="24"/>
          <w:szCs w:val="24"/>
          <w:rtl/>
        </w:rPr>
        <w:t xml:space="preserve">מחנה </w:t>
      </w:r>
      <w:r w:rsidRPr="006F0776">
        <w:rPr>
          <w:rFonts w:cs="David" w:hint="cs"/>
          <w:sz w:val="24"/>
          <w:szCs w:val="24"/>
          <w:rtl/>
        </w:rPr>
        <w:t xml:space="preserve">הימין </w:t>
      </w:r>
      <w:r w:rsidRPr="006F0776">
        <w:rPr>
          <w:rFonts w:cs="David"/>
          <w:sz w:val="24"/>
          <w:szCs w:val="24"/>
          <w:rtl/>
        </w:rPr>
        <w:t>–</w:t>
      </w:r>
      <w:r w:rsidRPr="006F0776">
        <w:rPr>
          <w:rFonts w:cs="David" w:hint="cs"/>
          <w:sz w:val="24"/>
          <w:szCs w:val="24"/>
          <w:rtl/>
        </w:rPr>
        <w:t xml:space="preserve"> על המפגינים. המרכז פחות חד משמעי ומחלק את האחריות העיקרית בין המשטרה לשני הצדדים במידה שווה.</w:t>
      </w:r>
    </w:p>
    <w:p w14:paraId="15FE07A7" w14:textId="55487CDC" w:rsidR="00010C49" w:rsidRDefault="00010C49" w:rsidP="006F0776">
      <w:pPr>
        <w:pStyle w:val="a3"/>
        <w:spacing w:after="200" w:line="360" w:lineRule="auto"/>
        <w:ind w:hanging="750"/>
        <w:jc w:val="both"/>
        <w:rPr>
          <w:rFonts w:cs="David"/>
          <w:b/>
          <w:bCs/>
          <w:sz w:val="24"/>
          <w:szCs w:val="24"/>
          <w:rtl/>
        </w:rPr>
      </w:pPr>
      <w:r w:rsidRPr="00010C49">
        <w:rPr>
          <w:rFonts w:cs="David" w:hint="cs"/>
          <w:b/>
          <w:bCs/>
          <w:sz w:val="24"/>
          <w:szCs w:val="24"/>
          <w:rtl/>
        </w:rPr>
        <w:t>מי אחראי</w:t>
      </w:r>
      <w:r w:rsidR="002F676C">
        <w:rPr>
          <w:rFonts w:cs="David" w:hint="cs"/>
          <w:b/>
          <w:bCs/>
          <w:sz w:val="24"/>
          <w:szCs w:val="24"/>
          <w:rtl/>
        </w:rPr>
        <w:t xml:space="preserve"> </w:t>
      </w:r>
      <w:r w:rsidRPr="00010C49">
        <w:rPr>
          <w:rFonts w:cs="David" w:hint="cs"/>
          <w:b/>
          <w:bCs/>
          <w:sz w:val="24"/>
          <w:szCs w:val="24"/>
          <w:rtl/>
        </w:rPr>
        <w:t>יותר לעימותים המתפתחים בין המפגינים למשטרה?</w:t>
      </w:r>
      <w:r>
        <w:rPr>
          <w:rFonts w:cs="David" w:hint="cs"/>
          <w:b/>
          <w:bCs/>
          <w:sz w:val="24"/>
          <w:szCs w:val="24"/>
          <w:rtl/>
        </w:rPr>
        <w:t xml:space="preserve"> (%, יהודים, לפי מחנה פוליטי)</w:t>
      </w:r>
    </w:p>
    <w:p w14:paraId="4395699F" w14:textId="684C6FF8" w:rsidR="00010C49" w:rsidRPr="00010C49" w:rsidRDefault="00010C49" w:rsidP="006E799D">
      <w:pPr>
        <w:pStyle w:val="a3"/>
        <w:spacing w:after="200" w:line="360" w:lineRule="auto"/>
        <w:ind w:hanging="325"/>
        <w:jc w:val="both"/>
        <w:rPr>
          <w:rFonts w:cs="David"/>
          <w:b/>
          <w:bCs/>
          <w:sz w:val="24"/>
          <w:szCs w:val="24"/>
          <w:rtl/>
        </w:rPr>
      </w:pPr>
      <w:r>
        <w:rPr>
          <w:rFonts w:cs="David"/>
          <w:b/>
          <w:bCs/>
          <w:noProof/>
          <w:sz w:val="24"/>
          <w:szCs w:val="24"/>
          <w:rtl/>
        </w:rPr>
        <w:drawing>
          <wp:inline distT="0" distB="0" distL="0" distR="0" wp14:anchorId="57707727" wp14:editId="3C819161">
            <wp:extent cx="5457825" cy="2590800"/>
            <wp:effectExtent l="0" t="0" r="0" b="0"/>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3BB83B" w14:textId="65DD548B" w:rsidR="00AC79ED" w:rsidRPr="006E799D" w:rsidRDefault="00AC79ED" w:rsidP="006E799D">
      <w:pPr>
        <w:spacing w:before="240" w:after="120" w:line="360" w:lineRule="auto"/>
        <w:ind w:hanging="30"/>
        <w:jc w:val="both"/>
        <w:rPr>
          <w:rFonts w:cs="David"/>
          <w:b/>
          <w:bCs/>
          <w:color w:val="5B9BD5" w:themeColor="accent1"/>
          <w:sz w:val="24"/>
          <w:szCs w:val="24"/>
          <w:rtl/>
        </w:rPr>
      </w:pPr>
      <w:r w:rsidRPr="006E799D">
        <w:rPr>
          <w:rFonts w:cs="David" w:hint="cs"/>
          <w:b/>
          <w:bCs/>
          <w:color w:val="5B9BD5" w:themeColor="accent1"/>
          <w:sz w:val="24"/>
          <w:szCs w:val="24"/>
          <w:rtl/>
        </w:rPr>
        <w:t>ההתקרבות לאיחוד האמירויות</w:t>
      </w:r>
    </w:p>
    <w:p w14:paraId="4A5E695F" w14:textId="38021F6C" w:rsidR="007864BA" w:rsidRPr="0039161E" w:rsidRDefault="007864BA" w:rsidP="00534838">
      <w:pPr>
        <w:pStyle w:val="a3"/>
        <w:spacing w:after="200" w:line="360" w:lineRule="auto"/>
        <w:ind w:left="-30"/>
        <w:jc w:val="both"/>
        <w:rPr>
          <w:rFonts w:ascii="David" w:hAnsi="David" w:cs="David"/>
          <w:sz w:val="24"/>
          <w:szCs w:val="24"/>
          <w:u w:val="single"/>
          <w:rtl/>
        </w:rPr>
      </w:pPr>
      <w:r w:rsidRPr="0039161E">
        <w:rPr>
          <w:rFonts w:ascii="David" w:hAnsi="David" w:cs="David"/>
          <w:sz w:val="24"/>
          <w:szCs w:val="24"/>
          <w:u w:val="single"/>
          <w:rtl/>
        </w:rPr>
        <w:t>תועלות צפויות</w:t>
      </w:r>
    </w:p>
    <w:p w14:paraId="245CBD73" w14:textId="6A425FFB" w:rsidR="000001FD" w:rsidRPr="0039161E" w:rsidRDefault="000001FD" w:rsidP="0039161E">
      <w:pPr>
        <w:pStyle w:val="a3"/>
        <w:spacing w:before="240" w:after="200" w:line="360" w:lineRule="auto"/>
        <w:ind w:left="-30"/>
        <w:jc w:val="both"/>
        <w:rPr>
          <w:rFonts w:ascii="David" w:hAnsi="David" w:cs="David"/>
          <w:sz w:val="24"/>
          <w:szCs w:val="24"/>
          <w:rtl/>
        </w:rPr>
      </w:pPr>
      <w:r w:rsidRPr="008E5F6C">
        <w:rPr>
          <w:rFonts w:ascii="David" w:hAnsi="David" w:cs="David"/>
          <w:sz w:val="24"/>
          <w:szCs w:val="24"/>
          <w:rtl/>
        </w:rPr>
        <w:t xml:space="preserve">רצינו לדעת איזו תועלת יכולה </w:t>
      </w:r>
      <w:r w:rsidRPr="0039161E">
        <w:rPr>
          <w:rFonts w:ascii="David" w:hAnsi="David" w:cs="David"/>
          <w:sz w:val="24"/>
          <w:szCs w:val="24"/>
          <w:rtl/>
        </w:rPr>
        <w:t>– בעיני הציבור – להביא ההתקרבות בין ישראל לאיחוד האמירויות.</w:t>
      </w:r>
      <w:r w:rsidR="0039161E" w:rsidRPr="0039161E">
        <w:rPr>
          <w:rFonts w:ascii="David" w:hAnsi="David" w:cs="David"/>
          <w:sz w:val="24"/>
          <w:szCs w:val="24"/>
          <w:rtl/>
        </w:rPr>
        <w:t xml:space="preserve"> </w:t>
      </w:r>
      <w:r w:rsidRPr="0039161E">
        <w:rPr>
          <w:rFonts w:ascii="David" w:hAnsi="David" w:cs="David"/>
          <w:sz w:val="24"/>
          <w:szCs w:val="24"/>
          <w:rtl/>
        </w:rPr>
        <w:t>בכל ארבעת התחומים שבדקנו הרוב חושבים שיש בכך מן התועלת, אבל הממצא המעניין ביותר הוא כי שיעור הסבורים שההתקרבות תביא תועלת ב</w:t>
      </w:r>
      <w:r w:rsidR="00AD3D2D" w:rsidRPr="0039161E">
        <w:rPr>
          <w:rFonts w:ascii="David" w:hAnsi="David" w:cs="David"/>
          <w:sz w:val="24"/>
          <w:szCs w:val="24"/>
          <w:rtl/>
        </w:rPr>
        <w:t>י</w:t>
      </w:r>
      <w:r w:rsidRPr="0039161E">
        <w:rPr>
          <w:rFonts w:ascii="David" w:hAnsi="David" w:cs="David"/>
          <w:sz w:val="24"/>
          <w:szCs w:val="24"/>
          <w:rtl/>
        </w:rPr>
        <w:t>טחונית צבאית הוא הנמוך היותר! ממצא זה יכול להסביר מדוע לא מצאנו החודש נסיקה באופטימיות לגבי עתיד הביטחון הלאומי של ישראל חרף ההתפתחות הדרמטית הזו ביחסיה של ישראל עם מדינה ערבית מרכזית.</w:t>
      </w:r>
    </w:p>
    <w:p w14:paraId="50FF7BED" w14:textId="46E28126" w:rsidR="000001FD" w:rsidRDefault="000001FD" w:rsidP="006E799D">
      <w:pPr>
        <w:spacing w:after="200" w:line="360" w:lineRule="auto"/>
        <w:ind w:hanging="30"/>
        <w:jc w:val="both"/>
        <w:rPr>
          <w:rFonts w:cs="David"/>
          <w:b/>
          <w:bCs/>
          <w:sz w:val="24"/>
          <w:szCs w:val="24"/>
          <w:rtl/>
        </w:rPr>
      </w:pPr>
      <w:r w:rsidRPr="000001FD">
        <w:rPr>
          <w:rFonts w:cs="David" w:hint="cs"/>
          <w:b/>
          <w:bCs/>
          <w:sz w:val="24"/>
          <w:szCs w:val="24"/>
          <w:rtl/>
        </w:rPr>
        <w:t>מעריכים כי ההתקרבות</w:t>
      </w:r>
      <w:r>
        <w:rPr>
          <w:rFonts w:cs="David" w:hint="cs"/>
          <w:b/>
          <w:bCs/>
          <w:sz w:val="24"/>
          <w:szCs w:val="24"/>
          <w:rtl/>
        </w:rPr>
        <w:t xml:space="preserve"> לאיחוד האמירויות</w:t>
      </w:r>
      <w:r w:rsidR="002F676C">
        <w:rPr>
          <w:rFonts w:cs="David" w:hint="cs"/>
          <w:b/>
          <w:bCs/>
          <w:sz w:val="24"/>
          <w:szCs w:val="24"/>
          <w:rtl/>
        </w:rPr>
        <w:t xml:space="preserve"> </w:t>
      </w:r>
      <w:r w:rsidRPr="000001FD">
        <w:rPr>
          <w:rFonts w:cs="David" w:hint="cs"/>
          <w:b/>
          <w:bCs/>
          <w:sz w:val="24"/>
          <w:szCs w:val="24"/>
          <w:rtl/>
        </w:rPr>
        <w:t>תביא תועלת לישראל (%, כלל המדגם)</w:t>
      </w:r>
    </w:p>
    <w:p w14:paraId="50AE152A" w14:textId="324DAC81" w:rsidR="000001FD" w:rsidRPr="000001FD" w:rsidRDefault="000001FD" w:rsidP="00AD3D2D">
      <w:pPr>
        <w:spacing w:after="200" w:line="360" w:lineRule="auto"/>
        <w:ind w:firstLine="537"/>
        <w:jc w:val="both"/>
        <w:rPr>
          <w:rFonts w:cs="David"/>
          <w:b/>
          <w:bCs/>
          <w:sz w:val="24"/>
          <w:szCs w:val="24"/>
          <w:rtl/>
        </w:rPr>
      </w:pPr>
      <w:r>
        <w:rPr>
          <w:rFonts w:cs="David"/>
          <w:b/>
          <w:bCs/>
          <w:noProof/>
          <w:sz w:val="24"/>
          <w:szCs w:val="24"/>
          <w:rtl/>
        </w:rPr>
        <w:drawing>
          <wp:inline distT="0" distB="0" distL="0" distR="0" wp14:anchorId="68DFAC33" wp14:editId="730AAAFD">
            <wp:extent cx="4648200" cy="2286000"/>
            <wp:effectExtent l="0" t="0" r="0" b="0"/>
            <wp:docPr id="12" name="תרשים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6E099E" w14:textId="0F691839" w:rsidR="000001FD" w:rsidRDefault="00F32FE6" w:rsidP="006E799D">
      <w:pPr>
        <w:pStyle w:val="a3"/>
        <w:spacing w:before="240" w:after="200" w:line="360" w:lineRule="auto"/>
        <w:ind w:left="-30"/>
        <w:jc w:val="both"/>
        <w:rPr>
          <w:rFonts w:cs="David"/>
          <w:sz w:val="24"/>
          <w:szCs w:val="24"/>
          <w:rtl/>
        </w:rPr>
      </w:pPr>
      <w:r>
        <w:rPr>
          <w:rFonts w:cs="David" w:hint="cs"/>
          <w:sz w:val="24"/>
          <w:szCs w:val="24"/>
          <w:rtl/>
        </w:rPr>
        <w:t>לא מצאנו בשאלה זו הבדלים גדולים</w:t>
      </w:r>
      <w:r w:rsidR="002F676C">
        <w:rPr>
          <w:rFonts w:cs="David" w:hint="cs"/>
          <w:sz w:val="24"/>
          <w:szCs w:val="24"/>
          <w:rtl/>
        </w:rPr>
        <w:t xml:space="preserve"> </w:t>
      </w:r>
      <w:r>
        <w:rPr>
          <w:rFonts w:cs="David" w:hint="cs"/>
          <w:sz w:val="24"/>
          <w:szCs w:val="24"/>
          <w:rtl/>
        </w:rPr>
        <w:t>בין המחנות הפוליטיים, למעט בתחום הב</w:t>
      </w:r>
      <w:r w:rsidR="00AD3D2D">
        <w:rPr>
          <w:rFonts w:cs="David" w:hint="cs"/>
          <w:sz w:val="24"/>
          <w:szCs w:val="24"/>
          <w:rtl/>
        </w:rPr>
        <w:t>י</w:t>
      </w:r>
      <w:r>
        <w:rPr>
          <w:rFonts w:cs="David" w:hint="cs"/>
          <w:sz w:val="24"/>
          <w:szCs w:val="24"/>
          <w:rtl/>
        </w:rPr>
        <w:t>טחוני צבאי: בעו</w:t>
      </w:r>
      <w:r w:rsidR="007864BA">
        <w:rPr>
          <w:rFonts w:cs="David" w:hint="cs"/>
          <w:sz w:val="24"/>
          <w:szCs w:val="24"/>
          <w:rtl/>
        </w:rPr>
        <w:t>ד</w:t>
      </w:r>
      <w:r>
        <w:rPr>
          <w:rFonts w:cs="David" w:hint="cs"/>
          <w:sz w:val="24"/>
          <w:szCs w:val="24"/>
          <w:rtl/>
        </w:rPr>
        <w:t xml:space="preserve"> בימין ובמרכז יש רוב </w:t>
      </w:r>
      <w:r w:rsidR="0039161E">
        <w:rPr>
          <w:rFonts w:cs="David" w:hint="cs"/>
          <w:sz w:val="24"/>
          <w:szCs w:val="24"/>
          <w:rtl/>
        </w:rPr>
        <w:t>(</w:t>
      </w:r>
      <w:r>
        <w:rPr>
          <w:rFonts w:cs="David" w:hint="cs"/>
          <w:sz w:val="24"/>
          <w:szCs w:val="24"/>
          <w:rtl/>
        </w:rPr>
        <w:t>59% ו-52%) למי שסבורים שההתקרבות תביא לישראל תועלת, בשמאל סבורים כך מיעוט בלבד (40%).</w:t>
      </w:r>
    </w:p>
    <w:p w14:paraId="10AC4BAF" w14:textId="65ACFD27" w:rsidR="007864BA" w:rsidRDefault="007864BA" w:rsidP="006E799D">
      <w:pPr>
        <w:pStyle w:val="a3"/>
        <w:spacing w:before="240" w:after="200" w:line="360" w:lineRule="auto"/>
        <w:ind w:left="-30"/>
        <w:jc w:val="both"/>
        <w:rPr>
          <w:rFonts w:cs="David"/>
          <w:sz w:val="24"/>
          <w:szCs w:val="24"/>
          <w:u w:val="single"/>
          <w:rtl/>
        </w:rPr>
      </w:pPr>
      <w:r w:rsidRPr="007864BA">
        <w:rPr>
          <w:rFonts w:cs="David" w:hint="cs"/>
          <w:sz w:val="24"/>
          <w:szCs w:val="24"/>
          <w:u w:val="single"/>
          <w:rtl/>
        </w:rPr>
        <w:lastRenderedPageBreak/>
        <w:t>ההתק</w:t>
      </w:r>
      <w:r w:rsidR="00265336">
        <w:rPr>
          <w:rFonts w:cs="David" w:hint="cs"/>
          <w:sz w:val="24"/>
          <w:szCs w:val="24"/>
          <w:u w:val="single"/>
          <w:rtl/>
        </w:rPr>
        <w:t>רבו</w:t>
      </w:r>
      <w:r w:rsidRPr="007864BA">
        <w:rPr>
          <w:rFonts w:cs="David" w:hint="cs"/>
          <w:sz w:val="24"/>
          <w:szCs w:val="24"/>
          <w:u w:val="single"/>
          <w:rtl/>
        </w:rPr>
        <w:t>ת והמגעים על הפלסטינים</w:t>
      </w:r>
    </w:p>
    <w:p w14:paraId="1C9614AB" w14:textId="36066EDD" w:rsidR="007864BA" w:rsidRPr="00442A88" w:rsidRDefault="007864BA" w:rsidP="006E799D">
      <w:pPr>
        <w:pStyle w:val="a3"/>
        <w:spacing w:line="360" w:lineRule="auto"/>
        <w:ind w:left="-30"/>
        <w:jc w:val="both"/>
        <w:rPr>
          <w:rFonts w:cs="David"/>
          <w:sz w:val="24"/>
          <w:szCs w:val="24"/>
          <w:rtl/>
        </w:rPr>
      </w:pPr>
      <w:r w:rsidRPr="00442A88">
        <w:rPr>
          <w:rFonts w:cs="David" w:hint="cs"/>
          <w:sz w:val="24"/>
          <w:szCs w:val="24"/>
          <w:rtl/>
        </w:rPr>
        <w:t>שאלנו: "</w:t>
      </w:r>
      <w:r w:rsidRPr="00442A88">
        <w:rPr>
          <w:rFonts w:ascii="David" w:eastAsia="Times New Roman" w:hAnsi="David" w:cs="David"/>
          <w:sz w:val="24"/>
          <w:szCs w:val="24"/>
          <w:rtl/>
        </w:rPr>
        <w:t>האם ההסכם עם איחוד האמירויות יתרום או יפגע בקידום המשא ומתן בין ישראל לרשות הפלסטינית?</w:t>
      </w:r>
      <w:r w:rsidRPr="00442A88">
        <w:rPr>
          <w:rFonts w:ascii="David" w:hAnsi="David" w:cs="David"/>
          <w:sz w:val="24"/>
          <w:szCs w:val="24"/>
          <w:rtl/>
        </w:rPr>
        <w:t>"</w:t>
      </w:r>
      <w:r w:rsidR="00265336" w:rsidRPr="00442A88">
        <w:rPr>
          <w:rFonts w:cs="David" w:hint="cs"/>
          <w:sz w:val="24"/>
          <w:szCs w:val="24"/>
          <w:rtl/>
        </w:rPr>
        <w:t xml:space="preserve"> במדגם היהודי מצאנו רוב הסבורים כי ההתקרבות לאיחוד האמירויות תתרום לקידום המשא ומתן עם הפלסטינים</w:t>
      </w:r>
      <w:r w:rsidR="00442A88" w:rsidRPr="00442A88">
        <w:rPr>
          <w:rFonts w:cs="David" w:hint="cs"/>
          <w:sz w:val="24"/>
          <w:szCs w:val="24"/>
          <w:rtl/>
        </w:rPr>
        <w:t>. בציבור הערבי אין עמדה ברורה בנושא, עם יתרון מה לחושבים שההתקרבות תפגע בקידום המשא ומתן עם הפלסטינים.</w:t>
      </w:r>
    </w:p>
    <w:p w14:paraId="4187496B" w14:textId="0742812B" w:rsidR="00442A88" w:rsidRDefault="00442A88" w:rsidP="006E799D">
      <w:pPr>
        <w:spacing w:line="360" w:lineRule="auto"/>
        <w:ind w:left="-30"/>
        <w:jc w:val="both"/>
        <w:rPr>
          <w:rFonts w:cs="David"/>
          <w:b/>
          <w:bCs/>
          <w:sz w:val="24"/>
          <w:szCs w:val="24"/>
          <w:rtl/>
        </w:rPr>
      </w:pPr>
      <w:r w:rsidRPr="00442A88">
        <w:rPr>
          <w:rFonts w:ascii="David" w:eastAsia="Times New Roman" w:hAnsi="David" w:cs="David"/>
          <w:b/>
          <w:bCs/>
          <w:sz w:val="24"/>
          <w:szCs w:val="24"/>
          <w:rtl/>
        </w:rPr>
        <w:t>ההסכם עם איחוד האמירויות יתרום או יפגע בקידום המשא ומתן בין ישראל לרשות הפלסטינית?</w:t>
      </w:r>
      <w:r w:rsidRPr="00442A88">
        <w:rPr>
          <w:rFonts w:cs="David" w:hint="cs"/>
          <w:b/>
          <w:bCs/>
          <w:sz w:val="24"/>
          <w:szCs w:val="24"/>
          <w:rtl/>
        </w:rPr>
        <w:t xml:space="preserve"> (%, יהודים וערבים)</w:t>
      </w:r>
    </w:p>
    <w:p w14:paraId="1D6206BF" w14:textId="4AB75DFB" w:rsidR="00442A88" w:rsidRPr="00442A88" w:rsidRDefault="00442A88" w:rsidP="00AD3D2D">
      <w:pPr>
        <w:spacing w:line="360" w:lineRule="auto"/>
        <w:ind w:firstLine="679"/>
        <w:jc w:val="both"/>
        <w:rPr>
          <w:rFonts w:cs="David"/>
          <w:b/>
          <w:bCs/>
          <w:sz w:val="24"/>
          <w:szCs w:val="24"/>
          <w:rtl/>
        </w:rPr>
      </w:pPr>
      <w:r>
        <w:rPr>
          <w:rFonts w:cs="David" w:hint="cs"/>
          <w:b/>
          <w:bCs/>
          <w:noProof/>
          <w:sz w:val="24"/>
          <w:szCs w:val="24"/>
          <w:rtl/>
        </w:rPr>
        <w:drawing>
          <wp:inline distT="0" distB="0" distL="0" distR="0" wp14:anchorId="779D5380" wp14:editId="1C27AF68">
            <wp:extent cx="4852134" cy="2278072"/>
            <wp:effectExtent l="0" t="0" r="5715" b="8255"/>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EB3953" w14:textId="386C36BC" w:rsidR="00442A88" w:rsidRDefault="00442A88" w:rsidP="006E799D">
      <w:pPr>
        <w:spacing w:line="360" w:lineRule="auto"/>
        <w:ind w:left="-30"/>
        <w:jc w:val="both"/>
        <w:rPr>
          <w:rFonts w:cs="David"/>
          <w:sz w:val="24"/>
          <w:szCs w:val="24"/>
          <w:rtl/>
        </w:rPr>
      </w:pPr>
      <w:r>
        <w:rPr>
          <w:rFonts w:cs="David" w:hint="cs"/>
          <w:sz w:val="24"/>
          <w:szCs w:val="24"/>
          <w:rtl/>
        </w:rPr>
        <w:t>פילוח המדגם היהודי לפי מחנה פוליטי מעלה כי בימין ובמרכז הרוב סבורים כי ההתקרבות לאיחוד האמירויות תתרום לקידום המשא ומתן עם הפלסטינים שעה שהשמאל חצוי בנושא.</w:t>
      </w:r>
    </w:p>
    <w:p w14:paraId="731C1A6C" w14:textId="5AE300C0" w:rsidR="0039161E" w:rsidRPr="0039161E" w:rsidRDefault="0039161E" w:rsidP="0039161E">
      <w:pPr>
        <w:spacing w:line="360" w:lineRule="auto"/>
        <w:ind w:left="-30"/>
        <w:jc w:val="both"/>
        <w:rPr>
          <w:rFonts w:cs="David"/>
          <w:b/>
          <w:bCs/>
          <w:sz w:val="24"/>
          <w:szCs w:val="24"/>
          <w:rtl/>
        </w:rPr>
      </w:pPr>
      <w:r w:rsidRPr="0039161E">
        <w:rPr>
          <w:rFonts w:cs="David"/>
          <w:b/>
          <w:bCs/>
          <w:sz w:val="24"/>
          <w:szCs w:val="24"/>
          <w:rtl/>
        </w:rPr>
        <w:t>ההסכם עם איחוד האמירויות יתרום או יפגע בקידום המשא ומתן בין ישראל לרשות הפלסטינית? (%, יהודים)</w:t>
      </w:r>
    </w:p>
    <w:tbl>
      <w:tblPr>
        <w:tblStyle w:val="a4"/>
        <w:bidiVisual/>
        <w:tblW w:w="0" w:type="auto"/>
        <w:tblInd w:w="503" w:type="dxa"/>
        <w:tblLook w:val="04A0" w:firstRow="1" w:lastRow="0" w:firstColumn="1" w:lastColumn="0" w:noHBand="0" w:noVBand="1"/>
      </w:tblPr>
      <w:tblGrid>
        <w:gridCol w:w="3544"/>
        <w:gridCol w:w="1984"/>
        <w:gridCol w:w="1701"/>
        <w:gridCol w:w="1668"/>
      </w:tblGrid>
      <w:tr w:rsidR="00442A88" w14:paraId="4CC45879" w14:textId="77777777" w:rsidTr="00534838">
        <w:tc>
          <w:tcPr>
            <w:tcW w:w="3544" w:type="dxa"/>
            <w:shd w:val="clear" w:color="auto" w:fill="D9D9D9" w:themeFill="background1" w:themeFillShade="D9"/>
          </w:tcPr>
          <w:p w14:paraId="60D9A1E2" w14:textId="77777777" w:rsidR="00442A88" w:rsidRDefault="00442A88" w:rsidP="00534838">
            <w:pPr>
              <w:spacing w:line="360" w:lineRule="auto"/>
              <w:ind w:left="-30" w:firstLine="30"/>
              <w:jc w:val="both"/>
              <w:rPr>
                <w:rFonts w:cs="David"/>
                <w:sz w:val="24"/>
                <w:szCs w:val="24"/>
                <w:rtl/>
              </w:rPr>
            </w:pPr>
          </w:p>
        </w:tc>
        <w:tc>
          <w:tcPr>
            <w:tcW w:w="1984" w:type="dxa"/>
            <w:shd w:val="clear" w:color="auto" w:fill="D9D9D9" w:themeFill="background1" w:themeFillShade="D9"/>
          </w:tcPr>
          <w:p w14:paraId="18243970" w14:textId="34A3A5A1" w:rsidR="00442A88" w:rsidRDefault="00442A88" w:rsidP="006E799D">
            <w:pPr>
              <w:spacing w:line="360" w:lineRule="auto"/>
              <w:ind w:left="-30"/>
              <w:jc w:val="center"/>
              <w:rPr>
                <w:rFonts w:cs="David"/>
                <w:sz w:val="24"/>
                <w:szCs w:val="24"/>
                <w:rtl/>
              </w:rPr>
            </w:pPr>
            <w:r>
              <w:rPr>
                <w:rFonts w:cs="David" w:hint="cs"/>
                <w:sz w:val="24"/>
                <w:szCs w:val="24"/>
                <w:rtl/>
              </w:rPr>
              <w:t>שמאל</w:t>
            </w:r>
          </w:p>
        </w:tc>
        <w:tc>
          <w:tcPr>
            <w:tcW w:w="1701" w:type="dxa"/>
            <w:shd w:val="clear" w:color="auto" w:fill="D9D9D9" w:themeFill="background1" w:themeFillShade="D9"/>
          </w:tcPr>
          <w:p w14:paraId="40BC4B77" w14:textId="3C00C92F" w:rsidR="00442A88" w:rsidRDefault="00442A88" w:rsidP="006E799D">
            <w:pPr>
              <w:spacing w:line="360" w:lineRule="auto"/>
              <w:ind w:left="-30"/>
              <w:jc w:val="center"/>
              <w:rPr>
                <w:rFonts w:cs="David"/>
                <w:sz w:val="24"/>
                <w:szCs w:val="24"/>
                <w:rtl/>
              </w:rPr>
            </w:pPr>
            <w:r>
              <w:rPr>
                <w:rFonts w:cs="David" w:hint="cs"/>
                <w:sz w:val="24"/>
                <w:szCs w:val="24"/>
                <w:rtl/>
              </w:rPr>
              <w:t>מרכז</w:t>
            </w:r>
          </w:p>
        </w:tc>
        <w:tc>
          <w:tcPr>
            <w:tcW w:w="1668" w:type="dxa"/>
            <w:shd w:val="clear" w:color="auto" w:fill="D9D9D9" w:themeFill="background1" w:themeFillShade="D9"/>
          </w:tcPr>
          <w:p w14:paraId="12A7DC8A" w14:textId="367404B8" w:rsidR="00442A88" w:rsidRDefault="00442A88" w:rsidP="006E799D">
            <w:pPr>
              <w:spacing w:line="360" w:lineRule="auto"/>
              <w:ind w:left="-30"/>
              <w:jc w:val="center"/>
              <w:rPr>
                <w:rFonts w:cs="David"/>
                <w:sz w:val="24"/>
                <w:szCs w:val="24"/>
                <w:rtl/>
              </w:rPr>
            </w:pPr>
            <w:r>
              <w:rPr>
                <w:rFonts w:cs="David" w:hint="cs"/>
                <w:sz w:val="24"/>
                <w:szCs w:val="24"/>
                <w:rtl/>
              </w:rPr>
              <w:t>ימין</w:t>
            </w:r>
          </w:p>
        </w:tc>
      </w:tr>
      <w:tr w:rsidR="00442A88" w14:paraId="760D23BA" w14:textId="77777777" w:rsidTr="00534838">
        <w:tc>
          <w:tcPr>
            <w:tcW w:w="3544" w:type="dxa"/>
            <w:shd w:val="clear" w:color="auto" w:fill="D9D9D9" w:themeFill="background1" w:themeFillShade="D9"/>
          </w:tcPr>
          <w:p w14:paraId="2382F898" w14:textId="41BA46BC" w:rsidR="00442A88" w:rsidRDefault="00442A88" w:rsidP="006E799D">
            <w:pPr>
              <w:spacing w:line="360" w:lineRule="auto"/>
              <w:ind w:left="-30"/>
              <w:rPr>
                <w:rFonts w:cs="David"/>
                <w:sz w:val="24"/>
                <w:szCs w:val="24"/>
                <w:rtl/>
              </w:rPr>
            </w:pPr>
            <w:r>
              <w:rPr>
                <w:rFonts w:cs="David" w:hint="cs"/>
                <w:sz w:val="24"/>
                <w:szCs w:val="24"/>
                <w:rtl/>
              </w:rPr>
              <w:t>חושבים או בטוחים שתתרום</w:t>
            </w:r>
          </w:p>
        </w:tc>
        <w:tc>
          <w:tcPr>
            <w:tcW w:w="1984" w:type="dxa"/>
          </w:tcPr>
          <w:p w14:paraId="7287A280" w14:textId="6A74752A" w:rsidR="00442A88" w:rsidRDefault="00442A88" w:rsidP="006E799D">
            <w:pPr>
              <w:spacing w:line="360" w:lineRule="auto"/>
              <w:ind w:left="-30"/>
              <w:jc w:val="center"/>
              <w:rPr>
                <w:rFonts w:cs="David"/>
                <w:sz w:val="24"/>
                <w:szCs w:val="24"/>
                <w:rtl/>
              </w:rPr>
            </w:pPr>
            <w:r>
              <w:rPr>
                <w:rFonts w:cs="David" w:hint="cs"/>
                <w:sz w:val="24"/>
                <w:szCs w:val="24"/>
                <w:rtl/>
              </w:rPr>
              <w:t>36</w:t>
            </w:r>
          </w:p>
        </w:tc>
        <w:tc>
          <w:tcPr>
            <w:tcW w:w="1701" w:type="dxa"/>
          </w:tcPr>
          <w:p w14:paraId="58720D0C" w14:textId="397F00F5" w:rsidR="00442A88" w:rsidRDefault="00442A88" w:rsidP="006E799D">
            <w:pPr>
              <w:spacing w:line="360" w:lineRule="auto"/>
              <w:ind w:left="-30"/>
              <w:jc w:val="center"/>
              <w:rPr>
                <w:rFonts w:cs="David"/>
                <w:sz w:val="24"/>
                <w:szCs w:val="24"/>
                <w:rtl/>
              </w:rPr>
            </w:pPr>
            <w:r>
              <w:rPr>
                <w:rFonts w:cs="David" w:hint="cs"/>
                <w:sz w:val="24"/>
                <w:szCs w:val="24"/>
                <w:rtl/>
              </w:rPr>
              <w:t>57</w:t>
            </w:r>
          </w:p>
        </w:tc>
        <w:tc>
          <w:tcPr>
            <w:tcW w:w="1668" w:type="dxa"/>
          </w:tcPr>
          <w:p w14:paraId="2A6B6BA3" w14:textId="62BF759F" w:rsidR="00442A88" w:rsidRDefault="00442A88" w:rsidP="006E799D">
            <w:pPr>
              <w:spacing w:line="360" w:lineRule="auto"/>
              <w:ind w:left="-30"/>
              <w:jc w:val="center"/>
              <w:rPr>
                <w:rFonts w:cs="David"/>
                <w:sz w:val="24"/>
                <w:szCs w:val="24"/>
                <w:rtl/>
              </w:rPr>
            </w:pPr>
            <w:r>
              <w:rPr>
                <w:rFonts w:cs="David" w:hint="cs"/>
                <w:sz w:val="24"/>
                <w:szCs w:val="24"/>
                <w:rtl/>
              </w:rPr>
              <w:t>58.5</w:t>
            </w:r>
          </w:p>
        </w:tc>
      </w:tr>
      <w:tr w:rsidR="00442A88" w14:paraId="682F17F5" w14:textId="77777777" w:rsidTr="00534838">
        <w:tc>
          <w:tcPr>
            <w:tcW w:w="3544" w:type="dxa"/>
            <w:shd w:val="clear" w:color="auto" w:fill="D9D9D9" w:themeFill="background1" w:themeFillShade="D9"/>
          </w:tcPr>
          <w:p w14:paraId="71209CC4" w14:textId="488F858E" w:rsidR="00442A88" w:rsidRDefault="00442A88" w:rsidP="006E799D">
            <w:pPr>
              <w:spacing w:line="360" w:lineRule="auto"/>
              <w:ind w:left="-30"/>
              <w:rPr>
                <w:rFonts w:cs="David"/>
                <w:sz w:val="24"/>
                <w:szCs w:val="24"/>
                <w:rtl/>
              </w:rPr>
            </w:pPr>
            <w:r>
              <w:rPr>
                <w:rFonts w:cs="David" w:hint="cs"/>
                <w:sz w:val="24"/>
                <w:szCs w:val="24"/>
                <w:rtl/>
              </w:rPr>
              <w:t>חושבים או בטוחים שתפגע</w:t>
            </w:r>
          </w:p>
        </w:tc>
        <w:tc>
          <w:tcPr>
            <w:tcW w:w="1984" w:type="dxa"/>
          </w:tcPr>
          <w:p w14:paraId="0B2AF155" w14:textId="1D3C59C9" w:rsidR="00442A88" w:rsidRDefault="00442A88" w:rsidP="006E799D">
            <w:pPr>
              <w:spacing w:line="360" w:lineRule="auto"/>
              <w:ind w:left="-30"/>
              <w:jc w:val="center"/>
              <w:rPr>
                <w:rFonts w:cs="David"/>
                <w:sz w:val="24"/>
                <w:szCs w:val="24"/>
                <w:rtl/>
              </w:rPr>
            </w:pPr>
            <w:r>
              <w:rPr>
                <w:rFonts w:cs="David" w:hint="cs"/>
                <w:sz w:val="24"/>
                <w:szCs w:val="24"/>
                <w:rtl/>
              </w:rPr>
              <w:t>37</w:t>
            </w:r>
          </w:p>
        </w:tc>
        <w:tc>
          <w:tcPr>
            <w:tcW w:w="1701" w:type="dxa"/>
          </w:tcPr>
          <w:p w14:paraId="09791389" w14:textId="3B180DC1" w:rsidR="00442A88" w:rsidRDefault="00442A88" w:rsidP="006E799D">
            <w:pPr>
              <w:spacing w:line="360" w:lineRule="auto"/>
              <w:ind w:left="-30"/>
              <w:jc w:val="center"/>
              <w:rPr>
                <w:rFonts w:cs="David"/>
                <w:sz w:val="24"/>
                <w:szCs w:val="24"/>
                <w:rtl/>
              </w:rPr>
            </w:pPr>
            <w:r>
              <w:rPr>
                <w:rFonts w:cs="David" w:hint="cs"/>
                <w:sz w:val="24"/>
                <w:szCs w:val="24"/>
                <w:rtl/>
              </w:rPr>
              <w:t>20</w:t>
            </w:r>
          </w:p>
        </w:tc>
        <w:tc>
          <w:tcPr>
            <w:tcW w:w="1668" w:type="dxa"/>
          </w:tcPr>
          <w:p w14:paraId="04EF3774" w14:textId="7EBA8905" w:rsidR="00442A88" w:rsidRDefault="00442A88" w:rsidP="006E799D">
            <w:pPr>
              <w:spacing w:line="360" w:lineRule="auto"/>
              <w:ind w:left="-30"/>
              <w:jc w:val="center"/>
              <w:rPr>
                <w:rFonts w:cs="David"/>
                <w:sz w:val="24"/>
                <w:szCs w:val="24"/>
                <w:rtl/>
              </w:rPr>
            </w:pPr>
            <w:r>
              <w:rPr>
                <w:rFonts w:cs="David" w:hint="cs"/>
                <w:sz w:val="24"/>
                <w:szCs w:val="24"/>
                <w:rtl/>
              </w:rPr>
              <w:t>20</w:t>
            </w:r>
          </w:p>
        </w:tc>
      </w:tr>
      <w:tr w:rsidR="00442A88" w14:paraId="6FF26600" w14:textId="77777777" w:rsidTr="00534838">
        <w:tc>
          <w:tcPr>
            <w:tcW w:w="3544" w:type="dxa"/>
            <w:shd w:val="clear" w:color="auto" w:fill="D9D9D9" w:themeFill="background1" w:themeFillShade="D9"/>
          </w:tcPr>
          <w:p w14:paraId="71B70265" w14:textId="02D47B0E" w:rsidR="00442A88" w:rsidRDefault="00442A88" w:rsidP="006E799D">
            <w:pPr>
              <w:spacing w:line="360" w:lineRule="auto"/>
              <w:ind w:left="-30"/>
              <w:rPr>
                <w:rFonts w:cs="David"/>
                <w:sz w:val="24"/>
                <w:szCs w:val="24"/>
                <w:rtl/>
              </w:rPr>
            </w:pPr>
            <w:r>
              <w:rPr>
                <w:rFonts w:cs="David" w:hint="cs"/>
                <w:sz w:val="24"/>
                <w:szCs w:val="24"/>
                <w:rtl/>
              </w:rPr>
              <w:t>לא יודעים</w:t>
            </w:r>
          </w:p>
        </w:tc>
        <w:tc>
          <w:tcPr>
            <w:tcW w:w="1984" w:type="dxa"/>
          </w:tcPr>
          <w:p w14:paraId="14E3C837" w14:textId="096397A6" w:rsidR="00442A88" w:rsidRDefault="00442A88" w:rsidP="006E799D">
            <w:pPr>
              <w:spacing w:line="360" w:lineRule="auto"/>
              <w:ind w:left="-30"/>
              <w:jc w:val="center"/>
              <w:rPr>
                <w:rFonts w:cs="David"/>
                <w:sz w:val="24"/>
                <w:szCs w:val="24"/>
                <w:rtl/>
              </w:rPr>
            </w:pPr>
            <w:r>
              <w:rPr>
                <w:rFonts w:cs="David" w:hint="cs"/>
                <w:sz w:val="24"/>
                <w:szCs w:val="24"/>
                <w:rtl/>
              </w:rPr>
              <w:t>27</w:t>
            </w:r>
          </w:p>
        </w:tc>
        <w:tc>
          <w:tcPr>
            <w:tcW w:w="1701" w:type="dxa"/>
          </w:tcPr>
          <w:p w14:paraId="0184B2A3" w14:textId="0450A05E" w:rsidR="00442A88" w:rsidRDefault="00442A88" w:rsidP="006E799D">
            <w:pPr>
              <w:spacing w:line="360" w:lineRule="auto"/>
              <w:ind w:left="-30"/>
              <w:jc w:val="center"/>
              <w:rPr>
                <w:rFonts w:cs="David"/>
                <w:sz w:val="24"/>
                <w:szCs w:val="24"/>
                <w:rtl/>
              </w:rPr>
            </w:pPr>
            <w:r>
              <w:rPr>
                <w:rFonts w:cs="David" w:hint="cs"/>
                <w:sz w:val="24"/>
                <w:szCs w:val="24"/>
                <w:rtl/>
              </w:rPr>
              <w:t>23</w:t>
            </w:r>
          </w:p>
        </w:tc>
        <w:tc>
          <w:tcPr>
            <w:tcW w:w="1668" w:type="dxa"/>
          </w:tcPr>
          <w:p w14:paraId="5AC5C3B9" w14:textId="42591B70" w:rsidR="00442A88" w:rsidRDefault="00442A88" w:rsidP="006E799D">
            <w:pPr>
              <w:spacing w:line="360" w:lineRule="auto"/>
              <w:ind w:left="-30"/>
              <w:jc w:val="center"/>
              <w:rPr>
                <w:rFonts w:cs="David"/>
                <w:sz w:val="24"/>
                <w:szCs w:val="24"/>
                <w:rtl/>
              </w:rPr>
            </w:pPr>
            <w:r>
              <w:rPr>
                <w:rFonts w:cs="David" w:hint="cs"/>
                <w:sz w:val="24"/>
                <w:szCs w:val="24"/>
                <w:rtl/>
              </w:rPr>
              <w:t>21.5</w:t>
            </w:r>
          </w:p>
        </w:tc>
      </w:tr>
    </w:tbl>
    <w:p w14:paraId="2A7C8A83" w14:textId="77777777" w:rsidR="00442A88" w:rsidRPr="00265336" w:rsidRDefault="00442A88" w:rsidP="006E799D">
      <w:pPr>
        <w:spacing w:line="360" w:lineRule="auto"/>
        <w:ind w:left="-30"/>
        <w:jc w:val="both"/>
        <w:rPr>
          <w:rFonts w:cs="David"/>
          <w:sz w:val="24"/>
          <w:szCs w:val="24"/>
          <w:rtl/>
        </w:rPr>
      </w:pPr>
    </w:p>
    <w:p w14:paraId="72FD0973" w14:textId="215DFD37" w:rsidR="00D871C5" w:rsidRPr="007D3E41" w:rsidRDefault="002E38BE" w:rsidP="006E799D">
      <w:pPr>
        <w:pStyle w:val="a3"/>
        <w:spacing w:before="240" w:after="200" w:line="360" w:lineRule="auto"/>
        <w:ind w:left="-30"/>
        <w:jc w:val="both"/>
        <w:rPr>
          <w:rFonts w:cs="David"/>
          <w:b/>
          <w:bCs/>
          <w:color w:val="5B9BD5" w:themeColor="accent1"/>
          <w:sz w:val="24"/>
          <w:szCs w:val="24"/>
          <w:rtl/>
        </w:rPr>
      </w:pPr>
      <w:r w:rsidRPr="007D3E41">
        <w:rPr>
          <w:rFonts w:cs="David" w:hint="cs"/>
          <w:b/>
          <w:bCs/>
          <w:color w:val="5B9BD5" w:themeColor="accent1"/>
          <w:sz w:val="24"/>
          <w:szCs w:val="24"/>
          <w:rtl/>
        </w:rPr>
        <w:t xml:space="preserve">לקראת </w:t>
      </w:r>
      <w:r w:rsidR="00B33DDF" w:rsidRPr="007D3E41">
        <w:rPr>
          <w:rFonts w:cs="David" w:hint="cs"/>
          <w:b/>
          <w:bCs/>
          <w:color w:val="5B9BD5" w:themeColor="accent1"/>
          <w:sz w:val="24"/>
          <w:szCs w:val="24"/>
          <w:rtl/>
        </w:rPr>
        <w:t xml:space="preserve">שנה חדשה </w:t>
      </w:r>
    </w:p>
    <w:p w14:paraId="7CAC30FE" w14:textId="2259DF63" w:rsidR="008E5F6C" w:rsidRPr="008E5F6C" w:rsidRDefault="008E5F6C" w:rsidP="0039161E">
      <w:pPr>
        <w:spacing w:after="120" w:line="360" w:lineRule="auto"/>
        <w:ind w:left="-30"/>
        <w:jc w:val="both"/>
        <w:rPr>
          <w:rFonts w:cs="David"/>
          <w:sz w:val="24"/>
          <w:szCs w:val="24"/>
          <w:u w:val="single"/>
          <w:rtl/>
        </w:rPr>
      </w:pPr>
      <w:r w:rsidRPr="008E5F6C">
        <w:rPr>
          <w:rFonts w:cs="David" w:hint="cs"/>
          <w:sz w:val="24"/>
          <w:szCs w:val="24"/>
          <w:u w:val="single"/>
          <w:rtl/>
        </w:rPr>
        <w:t xml:space="preserve">מצב </w:t>
      </w:r>
      <w:r>
        <w:rPr>
          <w:rFonts w:cs="David" w:hint="cs"/>
          <w:sz w:val="24"/>
          <w:szCs w:val="24"/>
          <w:u w:val="single"/>
          <w:rtl/>
        </w:rPr>
        <w:t>הרוח הלאומי</w:t>
      </w:r>
    </w:p>
    <w:p w14:paraId="19FEE9B1" w14:textId="74E0772F" w:rsidR="00811EFD" w:rsidRPr="0039161E" w:rsidRDefault="008E2FD1" w:rsidP="0039161E">
      <w:pPr>
        <w:spacing w:after="120" w:line="360" w:lineRule="auto"/>
        <w:ind w:left="-30"/>
        <w:jc w:val="both"/>
        <w:rPr>
          <w:rFonts w:ascii="David" w:hAnsi="David" w:cs="David"/>
          <w:sz w:val="24"/>
          <w:szCs w:val="24"/>
        </w:rPr>
      </w:pPr>
      <w:r w:rsidRPr="0039161E">
        <w:rPr>
          <w:rFonts w:cs="David" w:hint="cs"/>
          <w:sz w:val="24"/>
          <w:szCs w:val="24"/>
          <w:rtl/>
        </w:rPr>
        <w:t xml:space="preserve">מעבר לשני הנושאים הספציפיים </w:t>
      </w:r>
      <w:r w:rsidR="007D3E41" w:rsidRPr="0039161E">
        <w:rPr>
          <w:rFonts w:cs="David" w:hint="cs"/>
          <w:sz w:val="24"/>
          <w:szCs w:val="24"/>
          <w:rtl/>
        </w:rPr>
        <w:t>שבהם דנו בהתחלת הטור</w:t>
      </w:r>
      <w:r w:rsidRPr="0039161E">
        <w:rPr>
          <w:rFonts w:cs="David" w:hint="cs"/>
          <w:sz w:val="24"/>
          <w:szCs w:val="24"/>
          <w:rtl/>
        </w:rPr>
        <w:t>, במישור הכולל לקראת השנה החדשה שני שלישים מ</w:t>
      </w:r>
      <w:r w:rsidR="00B33DDF" w:rsidRPr="0039161E">
        <w:rPr>
          <w:rFonts w:cs="David" w:hint="cs"/>
          <w:sz w:val="24"/>
          <w:szCs w:val="24"/>
          <w:rtl/>
        </w:rPr>
        <w:t xml:space="preserve">המרואיינים מתארים את מצב הרוח </w:t>
      </w:r>
      <w:r w:rsidR="00E81E8A" w:rsidRPr="0039161E">
        <w:rPr>
          <w:rFonts w:cs="David" w:hint="cs"/>
          <w:b/>
          <w:bCs/>
          <w:sz w:val="24"/>
          <w:szCs w:val="24"/>
          <w:rtl/>
        </w:rPr>
        <w:t>הציבורי</w:t>
      </w:r>
      <w:r w:rsidR="00B33DDF" w:rsidRPr="0039161E">
        <w:rPr>
          <w:rFonts w:cs="David" w:hint="cs"/>
          <w:sz w:val="24"/>
          <w:szCs w:val="24"/>
          <w:rtl/>
        </w:rPr>
        <w:t xml:space="preserve"> כעגום</w:t>
      </w:r>
      <w:r w:rsidR="009141E6" w:rsidRPr="0039161E">
        <w:rPr>
          <w:rFonts w:cs="David" w:hint="cs"/>
          <w:sz w:val="24"/>
          <w:szCs w:val="24"/>
          <w:rtl/>
        </w:rPr>
        <w:t xml:space="preserve"> ברמות שונות</w:t>
      </w:r>
      <w:r w:rsidR="00B33DDF" w:rsidRPr="0039161E">
        <w:rPr>
          <w:rFonts w:cs="David" w:hint="cs"/>
          <w:sz w:val="24"/>
          <w:szCs w:val="24"/>
          <w:rtl/>
        </w:rPr>
        <w:t>. רק</w:t>
      </w:r>
      <w:r w:rsidRPr="0039161E">
        <w:rPr>
          <w:rFonts w:cs="David" w:hint="cs"/>
          <w:sz w:val="24"/>
          <w:szCs w:val="24"/>
          <w:rtl/>
        </w:rPr>
        <w:t xml:space="preserve"> כרבע</w:t>
      </w:r>
      <w:r w:rsidR="002F676C" w:rsidRPr="0039161E">
        <w:rPr>
          <w:rFonts w:cs="David" w:hint="cs"/>
          <w:sz w:val="24"/>
          <w:szCs w:val="24"/>
          <w:rtl/>
        </w:rPr>
        <w:t xml:space="preserve"> </w:t>
      </w:r>
      <w:r w:rsidR="00B33DDF" w:rsidRPr="0039161E">
        <w:rPr>
          <w:rFonts w:cs="David" w:hint="cs"/>
          <w:sz w:val="24"/>
          <w:szCs w:val="24"/>
          <w:rtl/>
        </w:rPr>
        <w:t xml:space="preserve">מתארים אותי </w:t>
      </w:r>
      <w:r w:rsidR="009141E6" w:rsidRPr="0039161E">
        <w:rPr>
          <w:rFonts w:cs="David" w:hint="cs"/>
          <w:sz w:val="24"/>
          <w:szCs w:val="24"/>
          <w:rtl/>
        </w:rPr>
        <w:t>כאופטימי</w:t>
      </w:r>
      <w:r w:rsidRPr="0039161E">
        <w:rPr>
          <w:rFonts w:cs="David" w:hint="cs"/>
          <w:sz w:val="24"/>
          <w:szCs w:val="24"/>
          <w:rtl/>
        </w:rPr>
        <w:t>.</w:t>
      </w:r>
      <w:r w:rsidR="002F676C" w:rsidRPr="0039161E">
        <w:rPr>
          <w:rFonts w:cs="David" w:hint="cs"/>
          <w:sz w:val="24"/>
          <w:szCs w:val="24"/>
          <w:rtl/>
        </w:rPr>
        <w:t xml:space="preserve"> </w:t>
      </w:r>
      <w:r w:rsidRPr="0039161E">
        <w:rPr>
          <w:rFonts w:cs="David" w:hint="cs"/>
          <w:sz w:val="24"/>
          <w:szCs w:val="24"/>
          <w:rtl/>
        </w:rPr>
        <w:t xml:space="preserve">בעבר שיעור המעריכים את מצב הרוח הלאומי </w:t>
      </w:r>
      <w:r w:rsidR="009141E6" w:rsidRPr="0039161E">
        <w:rPr>
          <w:rFonts w:cs="David" w:hint="cs"/>
          <w:sz w:val="24"/>
          <w:szCs w:val="24"/>
          <w:rtl/>
        </w:rPr>
        <w:t xml:space="preserve">כחיובי </w:t>
      </w:r>
      <w:r w:rsidRPr="0039161E">
        <w:rPr>
          <w:rFonts w:cs="David" w:hint="cs"/>
          <w:sz w:val="24"/>
          <w:szCs w:val="24"/>
          <w:rtl/>
        </w:rPr>
        <w:t xml:space="preserve">לקראת שנה חדשה היה גבוה במידה ניכרת. </w:t>
      </w:r>
      <w:r w:rsidR="00B33DDF" w:rsidRPr="0039161E">
        <w:rPr>
          <w:rFonts w:cs="David" w:hint="cs"/>
          <w:sz w:val="24"/>
          <w:szCs w:val="24"/>
          <w:rtl/>
        </w:rPr>
        <w:t xml:space="preserve">בסוגיה זו </w:t>
      </w:r>
      <w:r w:rsidR="009141E6" w:rsidRPr="0039161E">
        <w:rPr>
          <w:rFonts w:cs="David" w:hint="cs"/>
          <w:sz w:val="24"/>
          <w:szCs w:val="24"/>
          <w:rtl/>
        </w:rPr>
        <w:t>לא מצאנו</w:t>
      </w:r>
      <w:r w:rsidR="00B33DDF" w:rsidRPr="0039161E">
        <w:rPr>
          <w:rFonts w:cs="David" w:hint="cs"/>
          <w:sz w:val="24"/>
          <w:szCs w:val="24"/>
          <w:rtl/>
        </w:rPr>
        <w:t xml:space="preserve"> הבדל משמעותי בין יהודים לערבים.</w:t>
      </w:r>
    </w:p>
    <w:p w14:paraId="0B5F71B9" w14:textId="5CBA6781" w:rsidR="00B33DDF" w:rsidRPr="00B33DDF" w:rsidRDefault="00B33DDF" w:rsidP="00534838">
      <w:pPr>
        <w:spacing w:after="200" w:line="360" w:lineRule="auto"/>
        <w:ind w:left="395" w:hanging="425"/>
        <w:contextualSpacing/>
        <w:rPr>
          <w:rFonts w:cs="David"/>
          <w:b/>
          <w:bCs/>
          <w:sz w:val="24"/>
          <w:szCs w:val="24"/>
          <w:rtl/>
        </w:rPr>
      </w:pPr>
      <w:r w:rsidRPr="00B33DDF">
        <w:rPr>
          <w:rFonts w:cs="David"/>
          <w:b/>
          <w:bCs/>
          <w:sz w:val="24"/>
          <w:szCs w:val="24"/>
          <w:rtl/>
        </w:rPr>
        <w:lastRenderedPageBreak/>
        <w:t>עם ראשית השנה החדשה, איך היית מגדיר את "מצב הרוח הלאומי" כיום?</w:t>
      </w:r>
      <w:r>
        <w:rPr>
          <w:rFonts w:cs="David" w:hint="cs"/>
          <w:b/>
          <w:bCs/>
          <w:sz w:val="24"/>
          <w:szCs w:val="24"/>
          <w:rtl/>
        </w:rPr>
        <w:t xml:space="preserve"> </w:t>
      </w:r>
      <w:r w:rsidRPr="00B33DDF">
        <w:rPr>
          <w:rFonts w:cs="David" w:hint="cs"/>
          <w:b/>
          <w:bCs/>
          <w:sz w:val="24"/>
          <w:szCs w:val="24"/>
          <w:rtl/>
        </w:rPr>
        <w:t>(%, כלל המדגם)</w:t>
      </w:r>
      <w:r>
        <w:rPr>
          <w:rFonts w:cs="David"/>
          <w:b/>
          <w:bCs/>
          <w:sz w:val="24"/>
          <w:szCs w:val="24"/>
          <w:rtl/>
        </w:rPr>
        <w:tab/>
      </w:r>
      <w:r>
        <w:rPr>
          <w:rFonts w:cs="David"/>
          <w:b/>
          <w:bCs/>
          <w:noProof/>
          <w:sz w:val="24"/>
          <w:szCs w:val="24"/>
          <w:rtl/>
        </w:rPr>
        <w:drawing>
          <wp:inline distT="0" distB="0" distL="0" distR="0" wp14:anchorId="7E99424B" wp14:editId="0B35DC69">
            <wp:extent cx="4619570" cy="1865798"/>
            <wp:effectExtent l="0" t="0" r="0" b="127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B33DDF">
        <w:rPr>
          <w:rFonts w:cs="David"/>
          <w:b/>
          <w:bCs/>
          <w:sz w:val="24"/>
          <w:szCs w:val="24"/>
          <w:rtl/>
        </w:rPr>
        <w:tab/>
      </w:r>
    </w:p>
    <w:p w14:paraId="4F859F2E" w14:textId="77777777" w:rsidR="009141E6" w:rsidRDefault="009141E6" w:rsidP="00D871C5">
      <w:pPr>
        <w:spacing w:after="200" w:line="360" w:lineRule="auto"/>
        <w:contextualSpacing/>
        <w:rPr>
          <w:rFonts w:cs="David"/>
          <w:sz w:val="24"/>
          <w:szCs w:val="24"/>
          <w:u w:val="single"/>
          <w:rtl/>
        </w:rPr>
      </w:pPr>
    </w:p>
    <w:p w14:paraId="1C36C541" w14:textId="16C6A041" w:rsidR="009141E6" w:rsidRPr="00534838" w:rsidRDefault="009141E6" w:rsidP="00534838">
      <w:pPr>
        <w:spacing w:before="240" w:after="200" w:line="360" w:lineRule="auto"/>
        <w:ind w:left="-30"/>
        <w:jc w:val="both"/>
        <w:rPr>
          <w:rFonts w:cs="David"/>
          <w:sz w:val="24"/>
          <w:szCs w:val="24"/>
          <w:u w:val="single"/>
          <w:rtl/>
        </w:rPr>
      </w:pPr>
      <w:r w:rsidRPr="009141E6">
        <w:rPr>
          <w:rFonts w:cs="David" w:hint="cs"/>
          <w:sz w:val="24"/>
          <w:szCs w:val="24"/>
          <w:rtl/>
        </w:rPr>
        <w:t xml:space="preserve">פילוח לפי דתיות העלה כי אמנם בכל הקבוצות הרוב </w:t>
      </w:r>
      <w:r w:rsidR="0039161E">
        <w:rPr>
          <w:rFonts w:cs="David" w:hint="cs"/>
          <w:sz w:val="24"/>
          <w:szCs w:val="24"/>
          <w:rtl/>
        </w:rPr>
        <w:t>מעריך</w:t>
      </w:r>
      <w:r>
        <w:rPr>
          <w:rFonts w:cs="David" w:hint="cs"/>
          <w:sz w:val="24"/>
          <w:szCs w:val="24"/>
          <w:rtl/>
        </w:rPr>
        <w:t xml:space="preserve"> כי מצב הרוח הציבורי לקראת השנה החדשה הוא </w:t>
      </w:r>
      <w:r w:rsidR="00FC71E7">
        <w:rPr>
          <w:rFonts w:cs="David" w:hint="cs"/>
          <w:sz w:val="24"/>
          <w:szCs w:val="24"/>
          <w:rtl/>
        </w:rPr>
        <w:t>פסימי</w:t>
      </w:r>
      <w:r>
        <w:rPr>
          <w:rFonts w:cs="David" w:hint="cs"/>
          <w:sz w:val="24"/>
          <w:szCs w:val="24"/>
          <w:rtl/>
        </w:rPr>
        <w:t>, אבל שיעור מי שכן רואים כאן אופטימיות הוא הגבוה ביותר בקרב החרדים והנמוך ביותר בקרב החילונים, מה שמשקף מן הסתם את הלוך הרוח בתוך כל אחת מהקבוצות הללו:</w:t>
      </w:r>
    </w:p>
    <w:tbl>
      <w:tblPr>
        <w:tblStyle w:val="a4"/>
        <w:bidiVisual/>
        <w:tblW w:w="0" w:type="auto"/>
        <w:tblInd w:w="503" w:type="dxa"/>
        <w:tblLook w:val="04A0" w:firstRow="1" w:lastRow="0" w:firstColumn="1" w:lastColumn="0" w:noHBand="0" w:noVBand="1"/>
      </w:tblPr>
      <w:tblGrid>
        <w:gridCol w:w="4197"/>
        <w:gridCol w:w="4700"/>
      </w:tblGrid>
      <w:tr w:rsidR="009141E6" w14:paraId="22F65398" w14:textId="77777777" w:rsidTr="00534838">
        <w:tc>
          <w:tcPr>
            <w:tcW w:w="4197" w:type="dxa"/>
            <w:shd w:val="clear" w:color="auto" w:fill="D9D9D9" w:themeFill="background1" w:themeFillShade="D9"/>
          </w:tcPr>
          <w:p w14:paraId="6D9F8C84" w14:textId="77777777" w:rsidR="009141E6" w:rsidRDefault="009141E6" w:rsidP="00534838">
            <w:pPr>
              <w:spacing w:before="100" w:after="200" w:line="360" w:lineRule="auto"/>
              <w:contextualSpacing/>
              <w:rPr>
                <w:rFonts w:cs="David"/>
                <w:sz w:val="24"/>
                <w:szCs w:val="24"/>
                <w:rtl/>
              </w:rPr>
            </w:pPr>
          </w:p>
        </w:tc>
        <w:tc>
          <w:tcPr>
            <w:tcW w:w="4700" w:type="dxa"/>
            <w:shd w:val="clear" w:color="auto" w:fill="D9D9D9" w:themeFill="background1" w:themeFillShade="D9"/>
          </w:tcPr>
          <w:p w14:paraId="1CDE9B3E" w14:textId="2047152E" w:rsidR="009141E6" w:rsidRDefault="009141E6" w:rsidP="00534838">
            <w:pPr>
              <w:spacing w:before="100" w:after="200" w:line="360" w:lineRule="auto"/>
              <w:contextualSpacing/>
              <w:jc w:val="center"/>
              <w:rPr>
                <w:rFonts w:cs="David"/>
                <w:sz w:val="24"/>
                <w:szCs w:val="24"/>
                <w:rtl/>
              </w:rPr>
            </w:pPr>
            <w:r>
              <w:rPr>
                <w:rFonts w:cs="David" w:hint="cs"/>
                <w:sz w:val="24"/>
                <w:szCs w:val="24"/>
                <w:rtl/>
              </w:rPr>
              <w:t>% המעריכים את מצב הרוח הלאומי לקראת השנה החדשה כאופטימי</w:t>
            </w:r>
          </w:p>
        </w:tc>
      </w:tr>
      <w:tr w:rsidR="009141E6" w14:paraId="0A604E72" w14:textId="77777777" w:rsidTr="00534838">
        <w:tc>
          <w:tcPr>
            <w:tcW w:w="4197" w:type="dxa"/>
            <w:shd w:val="clear" w:color="auto" w:fill="D9D9D9" w:themeFill="background1" w:themeFillShade="D9"/>
          </w:tcPr>
          <w:p w14:paraId="5EF1BF4A" w14:textId="6C378ADD" w:rsidR="009141E6" w:rsidRDefault="009141E6" w:rsidP="00534838">
            <w:pPr>
              <w:spacing w:before="100" w:after="200" w:line="360" w:lineRule="auto"/>
              <w:contextualSpacing/>
              <w:rPr>
                <w:rFonts w:cs="David"/>
                <w:sz w:val="24"/>
                <w:szCs w:val="24"/>
                <w:rtl/>
              </w:rPr>
            </w:pPr>
            <w:r>
              <w:rPr>
                <w:rFonts w:cs="David" w:hint="cs"/>
                <w:sz w:val="24"/>
                <w:szCs w:val="24"/>
                <w:rtl/>
              </w:rPr>
              <w:t>חרדים</w:t>
            </w:r>
          </w:p>
        </w:tc>
        <w:tc>
          <w:tcPr>
            <w:tcW w:w="4700" w:type="dxa"/>
          </w:tcPr>
          <w:p w14:paraId="7B446840" w14:textId="3C927195" w:rsidR="009141E6" w:rsidRDefault="009141E6" w:rsidP="00534838">
            <w:pPr>
              <w:spacing w:before="100" w:after="200" w:line="360" w:lineRule="auto"/>
              <w:contextualSpacing/>
              <w:jc w:val="center"/>
              <w:rPr>
                <w:rFonts w:cs="David"/>
                <w:sz w:val="24"/>
                <w:szCs w:val="24"/>
                <w:rtl/>
              </w:rPr>
            </w:pPr>
            <w:r>
              <w:rPr>
                <w:rFonts w:cs="David" w:hint="cs"/>
                <w:sz w:val="24"/>
                <w:szCs w:val="24"/>
                <w:rtl/>
              </w:rPr>
              <w:t>44</w:t>
            </w:r>
          </w:p>
        </w:tc>
      </w:tr>
      <w:tr w:rsidR="009141E6" w14:paraId="04929AD7" w14:textId="77777777" w:rsidTr="00534838">
        <w:tc>
          <w:tcPr>
            <w:tcW w:w="4197" w:type="dxa"/>
            <w:shd w:val="clear" w:color="auto" w:fill="D9D9D9" w:themeFill="background1" w:themeFillShade="D9"/>
          </w:tcPr>
          <w:p w14:paraId="2BAE342C" w14:textId="6BDDE522" w:rsidR="009141E6" w:rsidRDefault="009141E6" w:rsidP="00534838">
            <w:pPr>
              <w:spacing w:before="100" w:after="200" w:line="360" w:lineRule="auto"/>
              <w:contextualSpacing/>
              <w:rPr>
                <w:rFonts w:cs="David"/>
                <w:sz w:val="24"/>
                <w:szCs w:val="24"/>
                <w:rtl/>
              </w:rPr>
            </w:pPr>
            <w:r>
              <w:rPr>
                <w:rFonts w:cs="David" w:hint="cs"/>
                <w:sz w:val="24"/>
                <w:szCs w:val="24"/>
                <w:rtl/>
              </w:rPr>
              <w:t>דתיים</w:t>
            </w:r>
          </w:p>
        </w:tc>
        <w:tc>
          <w:tcPr>
            <w:tcW w:w="4700" w:type="dxa"/>
          </w:tcPr>
          <w:p w14:paraId="55143DC5" w14:textId="2FA2ACD0" w:rsidR="009141E6" w:rsidRDefault="009141E6" w:rsidP="00534838">
            <w:pPr>
              <w:spacing w:before="100" w:after="200" w:line="360" w:lineRule="auto"/>
              <w:contextualSpacing/>
              <w:jc w:val="center"/>
              <w:rPr>
                <w:rFonts w:cs="David"/>
                <w:sz w:val="24"/>
                <w:szCs w:val="24"/>
                <w:rtl/>
              </w:rPr>
            </w:pPr>
            <w:r>
              <w:rPr>
                <w:rFonts w:cs="David" w:hint="cs"/>
                <w:sz w:val="24"/>
                <w:szCs w:val="24"/>
                <w:rtl/>
              </w:rPr>
              <w:t>39</w:t>
            </w:r>
          </w:p>
        </w:tc>
      </w:tr>
      <w:tr w:rsidR="009141E6" w14:paraId="60A83783" w14:textId="77777777" w:rsidTr="00534838">
        <w:tc>
          <w:tcPr>
            <w:tcW w:w="4197" w:type="dxa"/>
            <w:shd w:val="clear" w:color="auto" w:fill="D9D9D9" w:themeFill="background1" w:themeFillShade="D9"/>
          </w:tcPr>
          <w:p w14:paraId="074AEFA5" w14:textId="46783D05" w:rsidR="009141E6" w:rsidRDefault="009141E6" w:rsidP="00534838">
            <w:pPr>
              <w:spacing w:before="100" w:after="200" w:line="360" w:lineRule="auto"/>
              <w:contextualSpacing/>
              <w:rPr>
                <w:rFonts w:cs="David"/>
                <w:sz w:val="24"/>
                <w:szCs w:val="24"/>
                <w:rtl/>
              </w:rPr>
            </w:pPr>
            <w:r>
              <w:rPr>
                <w:rFonts w:cs="David" w:hint="cs"/>
                <w:sz w:val="24"/>
                <w:szCs w:val="24"/>
                <w:rtl/>
              </w:rPr>
              <w:t>מסורתיים דתיים</w:t>
            </w:r>
          </w:p>
        </w:tc>
        <w:tc>
          <w:tcPr>
            <w:tcW w:w="4700" w:type="dxa"/>
          </w:tcPr>
          <w:p w14:paraId="60D82FA2" w14:textId="2FD77734" w:rsidR="009141E6" w:rsidRDefault="009141E6" w:rsidP="00534838">
            <w:pPr>
              <w:spacing w:before="100" w:after="200" w:line="360" w:lineRule="auto"/>
              <w:contextualSpacing/>
              <w:jc w:val="center"/>
              <w:rPr>
                <w:rFonts w:cs="David"/>
                <w:sz w:val="24"/>
                <w:szCs w:val="24"/>
                <w:rtl/>
              </w:rPr>
            </w:pPr>
            <w:r>
              <w:rPr>
                <w:rFonts w:cs="David" w:hint="cs"/>
                <w:sz w:val="24"/>
                <w:szCs w:val="24"/>
                <w:rtl/>
              </w:rPr>
              <w:t>28</w:t>
            </w:r>
          </w:p>
        </w:tc>
      </w:tr>
      <w:tr w:rsidR="009141E6" w14:paraId="30EF8066" w14:textId="77777777" w:rsidTr="00534838">
        <w:tc>
          <w:tcPr>
            <w:tcW w:w="4197" w:type="dxa"/>
            <w:shd w:val="clear" w:color="auto" w:fill="D9D9D9" w:themeFill="background1" w:themeFillShade="D9"/>
          </w:tcPr>
          <w:p w14:paraId="30667861" w14:textId="0C5B0687" w:rsidR="009141E6" w:rsidRDefault="009141E6" w:rsidP="00534838">
            <w:pPr>
              <w:spacing w:before="100" w:after="200" w:line="360" w:lineRule="auto"/>
              <w:contextualSpacing/>
              <w:rPr>
                <w:rFonts w:cs="David"/>
                <w:sz w:val="24"/>
                <w:szCs w:val="24"/>
                <w:rtl/>
              </w:rPr>
            </w:pPr>
            <w:r>
              <w:rPr>
                <w:rFonts w:cs="David" w:hint="cs"/>
                <w:sz w:val="24"/>
                <w:szCs w:val="24"/>
                <w:rtl/>
              </w:rPr>
              <w:t>מסורתיים לא דתיים</w:t>
            </w:r>
          </w:p>
        </w:tc>
        <w:tc>
          <w:tcPr>
            <w:tcW w:w="4700" w:type="dxa"/>
          </w:tcPr>
          <w:p w14:paraId="6624E845" w14:textId="503FD213" w:rsidR="009141E6" w:rsidRDefault="009141E6" w:rsidP="00534838">
            <w:pPr>
              <w:spacing w:before="100" w:after="200" w:line="360" w:lineRule="auto"/>
              <w:contextualSpacing/>
              <w:jc w:val="center"/>
              <w:rPr>
                <w:rFonts w:cs="David"/>
                <w:sz w:val="24"/>
                <w:szCs w:val="24"/>
                <w:rtl/>
              </w:rPr>
            </w:pPr>
            <w:r>
              <w:rPr>
                <w:rFonts w:cs="David" w:hint="cs"/>
                <w:sz w:val="24"/>
                <w:szCs w:val="24"/>
                <w:rtl/>
              </w:rPr>
              <w:t>29</w:t>
            </w:r>
          </w:p>
        </w:tc>
      </w:tr>
      <w:tr w:rsidR="009141E6" w14:paraId="45050924" w14:textId="77777777" w:rsidTr="00534838">
        <w:tc>
          <w:tcPr>
            <w:tcW w:w="4197" w:type="dxa"/>
            <w:shd w:val="clear" w:color="auto" w:fill="D9D9D9" w:themeFill="background1" w:themeFillShade="D9"/>
          </w:tcPr>
          <w:p w14:paraId="18363AE4" w14:textId="50F17484" w:rsidR="009141E6" w:rsidRDefault="009141E6" w:rsidP="00534838">
            <w:pPr>
              <w:spacing w:before="100" w:after="200" w:line="360" w:lineRule="auto"/>
              <w:contextualSpacing/>
              <w:rPr>
                <w:rFonts w:cs="David"/>
                <w:sz w:val="24"/>
                <w:szCs w:val="24"/>
                <w:rtl/>
              </w:rPr>
            </w:pPr>
            <w:r>
              <w:rPr>
                <w:rFonts w:cs="David" w:hint="cs"/>
                <w:sz w:val="24"/>
                <w:szCs w:val="24"/>
                <w:rtl/>
              </w:rPr>
              <w:t xml:space="preserve">חילונים </w:t>
            </w:r>
          </w:p>
        </w:tc>
        <w:tc>
          <w:tcPr>
            <w:tcW w:w="4700" w:type="dxa"/>
          </w:tcPr>
          <w:p w14:paraId="737E07FA" w14:textId="1C33473D" w:rsidR="009141E6" w:rsidRDefault="009141E6" w:rsidP="00534838">
            <w:pPr>
              <w:spacing w:before="100" w:after="200" w:line="360" w:lineRule="auto"/>
              <w:contextualSpacing/>
              <w:jc w:val="center"/>
              <w:rPr>
                <w:rFonts w:cs="David"/>
                <w:sz w:val="24"/>
                <w:szCs w:val="24"/>
                <w:rtl/>
              </w:rPr>
            </w:pPr>
            <w:r>
              <w:rPr>
                <w:rFonts w:cs="David" w:hint="cs"/>
                <w:sz w:val="24"/>
                <w:szCs w:val="24"/>
                <w:rtl/>
              </w:rPr>
              <w:t>15</w:t>
            </w:r>
          </w:p>
        </w:tc>
      </w:tr>
    </w:tbl>
    <w:p w14:paraId="1B334A68" w14:textId="77777777" w:rsidR="00430767" w:rsidRDefault="00430767" w:rsidP="00430767">
      <w:pPr>
        <w:spacing w:after="0" w:line="360" w:lineRule="auto"/>
        <w:ind w:left="-30"/>
        <w:jc w:val="both"/>
        <w:rPr>
          <w:rFonts w:cs="David"/>
          <w:sz w:val="24"/>
          <w:szCs w:val="24"/>
          <w:u w:val="single"/>
          <w:rtl/>
        </w:rPr>
      </w:pPr>
    </w:p>
    <w:p w14:paraId="41145547" w14:textId="77777777" w:rsidR="008E5F6C" w:rsidRPr="008E5F6C" w:rsidRDefault="008E5F6C" w:rsidP="00430767">
      <w:pPr>
        <w:spacing w:before="120" w:after="200" w:line="360" w:lineRule="auto"/>
        <w:ind w:left="-30"/>
        <w:jc w:val="both"/>
        <w:rPr>
          <w:rFonts w:cs="David"/>
          <w:sz w:val="24"/>
          <w:szCs w:val="24"/>
          <w:u w:val="single"/>
          <w:rtl/>
        </w:rPr>
      </w:pPr>
      <w:r w:rsidRPr="008E5F6C">
        <w:rPr>
          <w:rFonts w:cs="David" w:hint="cs"/>
          <w:sz w:val="24"/>
          <w:szCs w:val="24"/>
          <w:u w:val="single"/>
          <w:rtl/>
        </w:rPr>
        <w:t>מצב הרוח האישי</w:t>
      </w:r>
    </w:p>
    <w:p w14:paraId="643DB894" w14:textId="44186753" w:rsidR="00D871C5" w:rsidRPr="0039161E" w:rsidRDefault="00A72D16" w:rsidP="008E5F6C">
      <w:pPr>
        <w:spacing w:after="200" w:line="360" w:lineRule="auto"/>
        <w:ind w:left="-30"/>
        <w:jc w:val="both"/>
        <w:rPr>
          <w:rFonts w:cs="David"/>
          <w:sz w:val="24"/>
          <w:szCs w:val="24"/>
        </w:rPr>
      </w:pPr>
      <w:r w:rsidRPr="0039161E">
        <w:rPr>
          <w:rFonts w:cs="David" w:hint="cs"/>
          <w:sz w:val="24"/>
          <w:szCs w:val="24"/>
          <w:rtl/>
        </w:rPr>
        <w:t>ואולם,</w:t>
      </w:r>
      <w:r w:rsidR="002F676C" w:rsidRPr="0039161E">
        <w:rPr>
          <w:rFonts w:cs="David" w:hint="cs"/>
          <w:sz w:val="24"/>
          <w:szCs w:val="24"/>
          <w:rtl/>
        </w:rPr>
        <w:t xml:space="preserve"> </w:t>
      </w:r>
      <w:r w:rsidR="00D871C5" w:rsidRPr="0039161E">
        <w:rPr>
          <w:rFonts w:cs="David" w:hint="cs"/>
          <w:sz w:val="24"/>
          <w:szCs w:val="24"/>
          <w:rtl/>
        </w:rPr>
        <w:t xml:space="preserve">מצב הרוח </w:t>
      </w:r>
      <w:r w:rsidR="00D871C5" w:rsidRPr="0039161E">
        <w:rPr>
          <w:rFonts w:cs="David" w:hint="cs"/>
          <w:b/>
          <w:bCs/>
          <w:sz w:val="24"/>
          <w:szCs w:val="24"/>
          <w:rtl/>
        </w:rPr>
        <w:t>האישי</w:t>
      </w:r>
      <w:r w:rsidR="00D871C5" w:rsidRPr="0039161E">
        <w:rPr>
          <w:rFonts w:cs="David" w:hint="cs"/>
          <w:sz w:val="24"/>
          <w:szCs w:val="24"/>
          <w:rtl/>
        </w:rPr>
        <w:t xml:space="preserve"> </w:t>
      </w:r>
      <w:r w:rsidR="00E81E8A" w:rsidRPr="0039161E">
        <w:rPr>
          <w:rFonts w:cs="David" w:hint="cs"/>
          <w:sz w:val="24"/>
          <w:szCs w:val="24"/>
          <w:rtl/>
        </w:rPr>
        <w:t>חיובי</w:t>
      </w:r>
      <w:r w:rsidR="00D871C5" w:rsidRPr="0039161E">
        <w:rPr>
          <w:rFonts w:cs="David" w:hint="cs"/>
          <w:sz w:val="24"/>
          <w:szCs w:val="24"/>
          <w:rtl/>
        </w:rPr>
        <w:t xml:space="preserve"> בהרבה</w:t>
      </w:r>
      <w:r w:rsidR="00E81E8A" w:rsidRPr="0039161E">
        <w:rPr>
          <w:rFonts w:cs="David" w:hint="cs"/>
          <w:sz w:val="24"/>
          <w:szCs w:val="24"/>
          <w:rtl/>
        </w:rPr>
        <w:t xml:space="preserve"> מהערכת מצב הרוח הציבורי:</w:t>
      </w:r>
      <w:r w:rsidR="00D871C5" w:rsidRPr="0039161E">
        <w:rPr>
          <w:rFonts w:cs="David" w:hint="cs"/>
          <w:sz w:val="24"/>
          <w:szCs w:val="24"/>
          <w:rtl/>
        </w:rPr>
        <w:t xml:space="preserve"> מעל מחצית </w:t>
      </w:r>
      <w:r w:rsidR="00E81E8A" w:rsidRPr="0039161E">
        <w:rPr>
          <w:rFonts w:cs="David" w:hint="cs"/>
          <w:sz w:val="24"/>
          <w:szCs w:val="24"/>
          <w:rtl/>
        </w:rPr>
        <w:t>המרואיינים (52%) העידו על עצמם</w:t>
      </w:r>
      <w:r w:rsidR="002F676C" w:rsidRPr="0039161E">
        <w:rPr>
          <w:rFonts w:cs="David" w:hint="cs"/>
          <w:sz w:val="24"/>
          <w:szCs w:val="24"/>
          <w:rtl/>
        </w:rPr>
        <w:t xml:space="preserve"> </w:t>
      </w:r>
      <w:r w:rsidR="00E81E8A" w:rsidRPr="0039161E">
        <w:rPr>
          <w:rFonts w:cs="David" w:hint="cs"/>
          <w:sz w:val="24"/>
          <w:szCs w:val="24"/>
          <w:rtl/>
        </w:rPr>
        <w:t>כ</w:t>
      </w:r>
      <w:r w:rsidR="00D871C5" w:rsidRPr="0039161E">
        <w:rPr>
          <w:rFonts w:cs="David" w:hint="cs"/>
          <w:sz w:val="24"/>
          <w:szCs w:val="24"/>
          <w:rtl/>
        </w:rPr>
        <w:t>אופטימי</w:t>
      </w:r>
      <w:r w:rsidR="00E81E8A" w:rsidRPr="0039161E">
        <w:rPr>
          <w:rFonts w:cs="David" w:hint="cs"/>
          <w:sz w:val="24"/>
          <w:szCs w:val="24"/>
          <w:rtl/>
        </w:rPr>
        <w:t>ים</w:t>
      </w:r>
      <w:r w:rsidR="002F676C" w:rsidRPr="0039161E">
        <w:rPr>
          <w:rFonts w:cs="David" w:hint="cs"/>
          <w:sz w:val="24"/>
          <w:szCs w:val="24"/>
          <w:rtl/>
        </w:rPr>
        <w:t xml:space="preserve"> </w:t>
      </w:r>
      <w:r w:rsidRPr="0039161E">
        <w:rPr>
          <w:rFonts w:cs="David" w:hint="cs"/>
          <w:sz w:val="24"/>
          <w:szCs w:val="24"/>
          <w:rtl/>
        </w:rPr>
        <w:t>ושיעור נמוך יותר (</w:t>
      </w:r>
      <w:r w:rsidR="00D871C5" w:rsidRPr="0039161E">
        <w:rPr>
          <w:rFonts w:cs="David" w:hint="cs"/>
          <w:sz w:val="24"/>
          <w:szCs w:val="24"/>
          <w:rtl/>
        </w:rPr>
        <w:t xml:space="preserve"> 44%</w:t>
      </w:r>
      <w:r w:rsidRPr="0039161E">
        <w:rPr>
          <w:rFonts w:cs="David" w:hint="cs"/>
          <w:sz w:val="24"/>
          <w:szCs w:val="24"/>
          <w:rtl/>
        </w:rPr>
        <w:t xml:space="preserve">) </w:t>
      </w:r>
      <w:r w:rsidR="00E81E8A" w:rsidRPr="0039161E">
        <w:rPr>
          <w:rFonts w:cs="David" w:hint="cs"/>
          <w:sz w:val="24"/>
          <w:szCs w:val="24"/>
          <w:rtl/>
        </w:rPr>
        <w:t>אמרו שהם פסימיים לקראת השנה החדשה. בניגוד לשאלה הקודמת, בשאלה זו</w:t>
      </w:r>
      <w:r w:rsidR="00D871C5" w:rsidRPr="0039161E">
        <w:rPr>
          <w:rFonts w:cs="David" w:hint="cs"/>
          <w:sz w:val="24"/>
          <w:szCs w:val="24"/>
          <w:rtl/>
        </w:rPr>
        <w:t xml:space="preserve"> נמצא הבדל בין יהודים לערבים: בעוד בקרב היהודי</w:t>
      </w:r>
      <w:r w:rsidR="00E81E8A" w:rsidRPr="0039161E">
        <w:rPr>
          <w:rFonts w:cs="David" w:hint="cs"/>
          <w:sz w:val="24"/>
          <w:szCs w:val="24"/>
          <w:rtl/>
        </w:rPr>
        <w:t xml:space="preserve">ם יש רוב לאופטימיים (54%), </w:t>
      </w:r>
      <w:r w:rsidR="00D871C5" w:rsidRPr="0039161E">
        <w:rPr>
          <w:rFonts w:cs="David" w:hint="cs"/>
          <w:sz w:val="24"/>
          <w:szCs w:val="24"/>
          <w:rtl/>
        </w:rPr>
        <w:t xml:space="preserve">בקרב הערבים </w:t>
      </w:r>
      <w:r w:rsidR="00E81E8A" w:rsidRPr="0039161E">
        <w:rPr>
          <w:rFonts w:cs="David" w:hint="cs"/>
          <w:sz w:val="24"/>
          <w:szCs w:val="24"/>
          <w:rtl/>
        </w:rPr>
        <w:t>שיעור הפסימיים גבוה משיעור האופטימיים (49% לעומת 38%).</w:t>
      </w:r>
    </w:p>
    <w:p w14:paraId="2411DA52" w14:textId="4752361B" w:rsidR="00D871C5" w:rsidRPr="0039161E" w:rsidRDefault="00D871C5" w:rsidP="0039161E">
      <w:pPr>
        <w:spacing w:after="200" w:line="360" w:lineRule="auto"/>
        <w:ind w:left="-30"/>
        <w:jc w:val="both"/>
        <w:rPr>
          <w:rFonts w:cs="David"/>
          <w:sz w:val="24"/>
          <w:szCs w:val="24"/>
        </w:rPr>
      </w:pPr>
      <w:r w:rsidRPr="0039161E">
        <w:rPr>
          <w:rFonts w:cs="David" w:hint="cs"/>
          <w:sz w:val="24"/>
          <w:szCs w:val="24"/>
          <w:rtl/>
        </w:rPr>
        <w:t>פילוח היהודים</w:t>
      </w:r>
      <w:r w:rsidR="00AB0024" w:rsidRPr="0039161E">
        <w:rPr>
          <w:rFonts w:cs="David" w:hint="cs"/>
          <w:sz w:val="24"/>
          <w:szCs w:val="24"/>
          <w:rtl/>
        </w:rPr>
        <w:t xml:space="preserve"> לפי מיקום על הרצף החרדי-חילוני</w:t>
      </w:r>
      <w:r w:rsidRPr="0039161E">
        <w:rPr>
          <w:rFonts w:cs="David" w:hint="cs"/>
          <w:sz w:val="24"/>
          <w:szCs w:val="24"/>
          <w:rtl/>
        </w:rPr>
        <w:t xml:space="preserve"> מעלה כי </w:t>
      </w:r>
      <w:r w:rsidR="00AB0024" w:rsidRPr="0039161E">
        <w:rPr>
          <w:rFonts w:cs="David" w:hint="cs"/>
          <w:sz w:val="24"/>
          <w:szCs w:val="24"/>
          <w:rtl/>
        </w:rPr>
        <w:t xml:space="preserve">ברוב הקבוצות יש רוב לאופטימיים, למעט בקבוצה החילונית שם הרוב פסימיים. </w:t>
      </w:r>
    </w:p>
    <w:p w14:paraId="19BA3380" w14:textId="77777777" w:rsidR="00430767" w:rsidRDefault="00430767" w:rsidP="00D871C5">
      <w:pPr>
        <w:spacing w:after="200" w:line="360" w:lineRule="auto"/>
        <w:rPr>
          <w:rFonts w:cs="David"/>
          <w:b/>
          <w:bCs/>
          <w:sz w:val="24"/>
          <w:szCs w:val="24"/>
          <w:rtl/>
        </w:rPr>
      </w:pPr>
    </w:p>
    <w:p w14:paraId="1756866D" w14:textId="77777777" w:rsidR="00430767" w:rsidRDefault="00430767" w:rsidP="00D871C5">
      <w:pPr>
        <w:spacing w:after="200" w:line="360" w:lineRule="auto"/>
        <w:rPr>
          <w:rFonts w:cs="David"/>
          <w:b/>
          <w:bCs/>
          <w:sz w:val="24"/>
          <w:szCs w:val="24"/>
          <w:rtl/>
        </w:rPr>
      </w:pPr>
    </w:p>
    <w:p w14:paraId="6D6FBDAA" w14:textId="77777777" w:rsidR="00430767" w:rsidRDefault="00430767" w:rsidP="00D871C5">
      <w:pPr>
        <w:spacing w:after="200" w:line="360" w:lineRule="auto"/>
        <w:rPr>
          <w:rFonts w:cs="David"/>
          <w:b/>
          <w:bCs/>
          <w:sz w:val="24"/>
          <w:szCs w:val="24"/>
          <w:rtl/>
        </w:rPr>
      </w:pPr>
    </w:p>
    <w:p w14:paraId="72CC1A31" w14:textId="77777777" w:rsidR="00430767" w:rsidRDefault="00430767" w:rsidP="00D871C5">
      <w:pPr>
        <w:spacing w:after="200" w:line="360" w:lineRule="auto"/>
        <w:rPr>
          <w:rFonts w:cs="David"/>
          <w:b/>
          <w:bCs/>
          <w:sz w:val="24"/>
          <w:szCs w:val="24"/>
          <w:rtl/>
        </w:rPr>
      </w:pPr>
    </w:p>
    <w:p w14:paraId="1B15B82C" w14:textId="77777777" w:rsidR="00430767" w:rsidRDefault="00430767" w:rsidP="00D871C5">
      <w:pPr>
        <w:spacing w:after="200" w:line="360" w:lineRule="auto"/>
        <w:rPr>
          <w:rFonts w:cs="David"/>
          <w:b/>
          <w:bCs/>
          <w:sz w:val="24"/>
          <w:szCs w:val="24"/>
          <w:rtl/>
        </w:rPr>
      </w:pPr>
    </w:p>
    <w:p w14:paraId="2B4738E4" w14:textId="77777777" w:rsidR="00430767" w:rsidRDefault="00430767" w:rsidP="00D871C5">
      <w:pPr>
        <w:spacing w:after="200" w:line="360" w:lineRule="auto"/>
        <w:rPr>
          <w:rFonts w:cs="David"/>
          <w:b/>
          <w:bCs/>
          <w:sz w:val="24"/>
          <w:szCs w:val="24"/>
          <w:rtl/>
        </w:rPr>
      </w:pPr>
    </w:p>
    <w:p w14:paraId="6B16763D" w14:textId="63E2BC05" w:rsidR="00D871C5" w:rsidRPr="00D871C5" w:rsidRDefault="00D871C5" w:rsidP="00D871C5">
      <w:pPr>
        <w:spacing w:after="200" w:line="360" w:lineRule="auto"/>
        <w:rPr>
          <w:rFonts w:cs="David"/>
          <w:b/>
          <w:bCs/>
          <w:sz w:val="24"/>
          <w:szCs w:val="24"/>
          <w:rtl/>
        </w:rPr>
      </w:pPr>
      <w:r>
        <w:rPr>
          <w:rFonts w:cs="David" w:hint="cs"/>
          <w:b/>
          <w:bCs/>
          <w:sz w:val="24"/>
          <w:szCs w:val="24"/>
          <w:rtl/>
        </w:rPr>
        <w:lastRenderedPageBreak/>
        <w:t xml:space="preserve">אופטימיים מאוד או די אופטימיים לגבי </w:t>
      </w:r>
      <w:r w:rsidRPr="00D871C5">
        <w:rPr>
          <w:rFonts w:cs="David" w:hint="cs"/>
          <w:b/>
          <w:bCs/>
          <w:sz w:val="24"/>
          <w:szCs w:val="24"/>
          <w:rtl/>
        </w:rPr>
        <w:t>מצב הרוח האישי (%, יהודים, לפי מחנה פוליטי)</w:t>
      </w:r>
    </w:p>
    <w:p w14:paraId="55A9B40A" w14:textId="55FC3914" w:rsidR="00D871C5" w:rsidRPr="00D871C5" w:rsidRDefault="00195BF0" w:rsidP="006E799D">
      <w:pPr>
        <w:spacing w:after="200" w:line="360" w:lineRule="auto"/>
        <w:ind w:firstLine="253"/>
        <w:rPr>
          <w:rFonts w:cs="David"/>
          <w:sz w:val="24"/>
          <w:szCs w:val="24"/>
          <w:rtl/>
        </w:rPr>
      </w:pPr>
      <w:r>
        <w:rPr>
          <w:rFonts w:cs="David" w:hint="cs"/>
          <w:noProof/>
          <w:sz w:val="24"/>
          <w:szCs w:val="24"/>
          <w:rtl/>
        </w:rPr>
        <w:drawing>
          <wp:inline distT="0" distB="0" distL="0" distR="0" wp14:anchorId="4826A87B" wp14:editId="328F4B1F">
            <wp:extent cx="5219700" cy="2257425"/>
            <wp:effectExtent l="0" t="0" r="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9D91EC" w14:textId="49AB442D" w:rsidR="00AB0024" w:rsidRDefault="00AB0024" w:rsidP="008E5F6C">
      <w:pPr>
        <w:pStyle w:val="a3"/>
        <w:numPr>
          <w:ilvl w:val="0"/>
          <w:numId w:val="7"/>
        </w:numPr>
        <w:spacing w:after="0" w:line="360" w:lineRule="auto"/>
        <w:ind w:left="360"/>
        <w:jc w:val="both"/>
        <w:rPr>
          <w:rFonts w:cs="David"/>
          <w:b/>
          <w:bCs/>
          <w:sz w:val="24"/>
          <w:szCs w:val="24"/>
        </w:rPr>
      </w:pPr>
      <w:r w:rsidRPr="002C01B5">
        <w:rPr>
          <w:rFonts w:cs="David" w:hint="cs"/>
          <w:sz w:val="24"/>
          <w:szCs w:val="24"/>
          <w:rtl/>
        </w:rPr>
        <w:t xml:space="preserve">הצלבה בין </w:t>
      </w:r>
      <w:r w:rsidR="00E8637D" w:rsidRPr="002C01B5">
        <w:rPr>
          <w:rFonts w:cs="David" w:hint="cs"/>
          <w:sz w:val="24"/>
          <w:szCs w:val="24"/>
          <w:rtl/>
        </w:rPr>
        <w:t xml:space="preserve">שתי השאלות, לגבי </w:t>
      </w:r>
      <w:r w:rsidRPr="002C01B5">
        <w:rPr>
          <w:rFonts w:cs="David" w:hint="cs"/>
          <w:sz w:val="24"/>
          <w:szCs w:val="24"/>
          <w:rtl/>
        </w:rPr>
        <w:t xml:space="preserve">הערכת </w:t>
      </w:r>
      <w:r w:rsidR="00E8637D" w:rsidRPr="002C01B5">
        <w:rPr>
          <w:rFonts w:cs="David" w:hint="cs"/>
          <w:sz w:val="24"/>
          <w:szCs w:val="24"/>
          <w:rtl/>
        </w:rPr>
        <w:t>מצב הרוח הלאומי ו</w:t>
      </w:r>
      <w:r w:rsidRPr="002C01B5">
        <w:rPr>
          <w:rFonts w:cs="David" w:hint="cs"/>
          <w:sz w:val="24"/>
          <w:szCs w:val="24"/>
          <w:rtl/>
        </w:rPr>
        <w:t xml:space="preserve">הדיווח על </w:t>
      </w:r>
      <w:r w:rsidR="00E8637D" w:rsidRPr="002C01B5">
        <w:rPr>
          <w:rFonts w:cs="David" w:hint="cs"/>
          <w:sz w:val="24"/>
          <w:szCs w:val="24"/>
          <w:rtl/>
        </w:rPr>
        <w:t>מצב הרוח האישי מעלה קשר חזק ביניהן</w:t>
      </w:r>
      <w:r w:rsidRPr="002C01B5">
        <w:rPr>
          <w:rFonts w:cs="David" w:hint="cs"/>
          <w:sz w:val="24"/>
          <w:szCs w:val="24"/>
          <w:rtl/>
        </w:rPr>
        <w:t xml:space="preserve"> </w:t>
      </w:r>
      <w:r w:rsidRPr="002C01B5">
        <w:rPr>
          <w:rFonts w:cs="David"/>
          <w:sz w:val="24"/>
          <w:szCs w:val="24"/>
          <w:rtl/>
        </w:rPr>
        <w:t>–</w:t>
      </w:r>
      <w:r w:rsidRPr="002C01B5">
        <w:rPr>
          <w:rFonts w:cs="David" w:hint="cs"/>
          <w:sz w:val="24"/>
          <w:szCs w:val="24"/>
          <w:rtl/>
        </w:rPr>
        <w:t xml:space="preserve"> לרוב, מי שהם אופטימיים לגבי עצמם, נוטים להעריך את</w:t>
      </w:r>
      <w:r w:rsidR="00A72D16">
        <w:rPr>
          <w:rFonts w:cs="David" w:hint="cs"/>
          <w:sz w:val="24"/>
          <w:szCs w:val="24"/>
          <w:rtl/>
        </w:rPr>
        <w:t xml:space="preserve"> הלוך הרוב</w:t>
      </w:r>
      <w:r w:rsidR="002F676C">
        <w:rPr>
          <w:rFonts w:cs="David" w:hint="cs"/>
          <w:sz w:val="24"/>
          <w:szCs w:val="24"/>
          <w:rtl/>
        </w:rPr>
        <w:t xml:space="preserve"> </w:t>
      </w:r>
      <w:r w:rsidRPr="002C01B5">
        <w:rPr>
          <w:rFonts w:cs="David" w:hint="cs"/>
          <w:sz w:val="24"/>
          <w:szCs w:val="24"/>
          <w:rtl/>
        </w:rPr>
        <w:t>הציבור</w:t>
      </w:r>
      <w:r w:rsidR="00A72D16">
        <w:rPr>
          <w:rFonts w:cs="David" w:hint="cs"/>
          <w:sz w:val="24"/>
          <w:szCs w:val="24"/>
          <w:rtl/>
        </w:rPr>
        <w:t>י</w:t>
      </w:r>
      <w:r w:rsidRPr="002C01B5">
        <w:rPr>
          <w:rFonts w:cs="David" w:hint="cs"/>
          <w:sz w:val="24"/>
          <w:szCs w:val="24"/>
          <w:rtl/>
        </w:rPr>
        <w:t xml:space="preserve"> כאופטימי ולהיפך</w:t>
      </w:r>
      <w:r w:rsidR="00A72D16">
        <w:rPr>
          <w:rFonts w:cs="David" w:hint="cs"/>
          <w:sz w:val="24"/>
          <w:szCs w:val="24"/>
          <w:rtl/>
        </w:rPr>
        <w:t xml:space="preserve"> </w:t>
      </w:r>
      <w:r w:rsidR="00A72D16">
        <w:rPr>
          <w:rFonts w:cs="David"/>
          <w:sz w:val="24"/>
          <w:szCs w:val="24"/>
          <w:rtl/>
        </w:rPr>
        <w:t>–</w:t>
      </w:r>
      <w:r w:rsidR="00A72D16">
        <w:rPr>
          <w:rFonts w:cs="David" w:hint="cs"/>
          <w:sz w:val="24"/>
          <w:szCs w:val="24"/>
          <w:rtl/>
        </w:rPr>
        <w:t xml:space="preserve"> מי שמעידים על מצב רוח אישי פסימי, נוטים להעריך כך גם את מצב הרוח הציבורי</w:t>
      </w:r>
      <w:r w:rsidRPr="002C01B5">
        <w:rPr>
          <w:rFonts w:cs="David" w:hint="cs"/>
          <w:sz w:val="24"/>
          <w:szCs w:val="24"/>
          <w:rtl/>
        </w:rPr>
        <w:t xml:space="preserve">. </w:t>
      </w:r>
      <w:r w:rsidR="00A72D16">
        <w:rPr>
          <w:rFonts w:cs="David" w:hint="cs"/>
          <w:sz w:val="24"/>
          <w:szCs w:val="24"/>
          <w:rtl/>
        </w:rPr>
        <w:t>כך,</w:t>
      </w:r>
      <w:r w:rsidR="008E5F6C">
        <w:rPr>
          <w:rFonts w:cs="David" w:hint="cs"/>
          <w:sz w:val="24"/>
          <w:szCs w:val="24"/>
          <w:rtl/>
        </w:rPr>
        <w:t xml:space="preserve"> </w:t>
      </w:r>
      <w:r w:rsidRPr="002C01B5">
        <w:rPr>
          <w:rFonts w:cs="David" w:hint="cs"/>
          <w:sz w:val="24"/>
          <w:szCs w:val="24"/>
          <w:rtl/>
        </w:rPr>
        <w:t xml:space="preserve">מבין מי שמגדירים עצמם אופטימיים </w:t>
      </w:r>
      <w:r w:rsidR="00A72D16">
        <w:rPr>
          <w:rFonts w:cs="David" w:hint="cs"/>
          <w:sz w:val="24"/>
          <w:szCs w:val="24"/>
          <w:rtl/>
        </w:rPr>
        <w:t xml:space="preserve">מאוד </w:t>
      </w:r>
      <w:r w:rsidRPr="002C01B5">
        <w:rPr>
          <w:rFonts w:cs="David" w:hint="cs"/>
          <w:sz w:val="24"/>
          <w:szCs w:val="24"/>
          <w:rtl/>
        </w:rPr>
        <w:t>הרוב (70%) מעריכים את מצב הרוח הלאומי ככזה.</w:t>
      </w:r>
      <w:r w:rsidR="002F676C">
        <w:rPr>
          <w:rFonts w:cs="David" w:hint="cs"/>
          <w:sz w:val="24"/>
          <w:szCs w:val="24"/>
          <w:rtl/>
        </w:rPr>
        <w:t xml:space="preserve"> </w:t>
      </w:r>
      <w:r w:rsidRPr="002C01B5">
        <w:rPr>
          <w:rFonts w:cs="David" w:hint="cs"/>
          <w:sz w:val="24"/>
          <w:szCs w:val="24"/>
          <w:rtl/>
        </w:rPr>
        <w:t>לעומת זאת</w:t>
      </w:r>
      <w:r w:rsidR="008E5F6C">
        <w:rPr>
          <w:rFonts w:cs="David" w:hint="cs"/>
          <w:sz w:val="24"/>
          <w:szCs w:val="24"/>
          <w:rtl/>
        </w:rPr>
        <w:t>,</w:t>
      </w:r>
      <w:r w:rsidRPr="002C01B5">
        <w:rPr>
          <w:rFonts w:cs="David" w:hint="cs"/>
          <w:sz w:val="24"/>
          <w:szCs w:val="24"/>
          <w:rtl/>
        </w:rPr>
        <w:t xml:space="preserve"> בקרב מי שמגדירים את מצב הרוח האישי שלהם פסימי מאוד רוב מכריע (82%) סבורים כך גם לגבי מצב הרוח ה</w:t>
      </w:r>
      <w:r w:rsidR="00A72D16">
        <w:rPr>
          <w:rFonts w:cs="David" w:hint="cs"/>
          <w:sz w:val="24"/>
          <w:szCs w:val="24"/>
          <w:rtl/>
        </w:rPr>
        <w:t>ציבור</w:t>
      </w:r>
      <w:r w:rsidRPr="002C01B5">
        <w:rPr>
          <w:rFonts w:cs="David" w:hint="cs"/>
          <w:sz w:val="24"/>
          <w:szCs w:val="24"/>
          <w:rtl/>
        </w:rPr>
        <w:t>י.</w:t>
      </w:r>
      <w:r w:rsidRPr="002C01B5">
        <w:rPr>
          <w:rFonts w:cs="David" w:hint="cs"/>
          <w:b/>
          <w:bCs/>
          <w:sz w:val="24"/>
          <w:szCs w:val="24"/>
          <w:rtl/>
        </w:rPr>
        <w:t xml:space="preserve"> </w:t>
      </w:r>
      <w:r w:rsidRPr="002C01B5">
        <w:rPr>
          <w:rFonts w:cs="David" w:hint="cs"/>
          <w:sz w:val="24"/>
          <w:szCs w:val="24"/>
          <w:rtl/>
        </w:rPr>
        <w:t>הקבוצה החריגה היחידה לעניין זה היא של מי שהגדירו את עצמם כדי אופטימיים אבל סבורים ברובם שהציבור בכללותו הוא פסימי, כלומר רואים את הציבור באור אחר מאשר את עצמם.</w:t>
      </w:r>
    </w:p>
    <w:p w14:paraId="055195E7" w14:textId="4A635301" w:rsidR="00E8637D" w:rsidRPr="00AB0024" w:rsidRDefault="00E8637D" w:rsidP="008E5F6C">
      <w:pPr>
        <w:pStyle w:val="a3"/>
        <w:spacing w:after="0" w:line="360" w:lineRule="auto"/>
        <w:ind w:left="360"/>
        <w:jc w:val="both"/>
        <w:rPr>
          <w:rFonts w:cs="David"/>
          <w:b/>
          <w:bCs/>
          <w:sz w:val="24"/>
          <w:szCs w:val="24"/>
          <w:rtl/>
        </w:rPr>
      </w:pPr>
      <w:r w:rsidRPr="00AB0024">
        <w:rPr>
          <w:rFonts w:cs="David" w:hint="cs"/>
          <w:b/>
          <w:bCs/>
          <w:sz w:val="24"/>
          <w:szCs w:val="24"/>
          <w:rtl/>
        </w:rPr>
        <w:t>אופטימיות/פ</w:t>
      </w:r>
      <w:r w:rsidR="00AB0024">
        <w:rPr>
          <w:rFonts w:cs="David" w:hint="cs"/>
          <w:b/>
          <w:bCs/>
          <w:sz w:val="24"/>
          <w:szCs w:val="24"/>
          <w:rtl/>
        </w:rPr>
        <w:t>ס</w:t>
      </w:r>
      <w:r w:rsidRPr="00AB0024">
        <w:rPr>
          <w:rFonts w:cs="David" w:hint="cs"/>
          <w:b/>
          <w:bCs/>
          <w:sz w:val="24"/>
          <w:szCs w:val="24"/>
          <w:rtl/>
        </w:rPr>
        <w:t>ימיות לגבי מצב הרוח ה</w:t>
      </w:r>
      <w:r w:rsidR="00A72D16">
        <w:rPr>
          <w:rFonts w:cs="David" w:hint="cs"/>
          <w:b/>
          <w:bCs/>
          <w:sz w:val="24"/>
          <w:szCs w:val="24"/>
          <w:rtl/>
        </w:rPr>
        <w:t>ציבור</w:t>
      </w:r>
      <w:r w:rsidRPr="00AB0024">
        <w:rPr>
          <w:rFonts w:cs="David" w:hint="cs"/>
          <w:b/>
          <w:bCs/>
          <w:sz w:val="24"/>
          <w:szCs w:val="24"/>
          <w:rtl/>
        </w:rPr>
        <w:t xml:space="preserve">י, (%, יהודים, </w:t>
      </w:r>
      <w:r w:rsidR="00A72D16" w:rsidRPr="00AB0024">
        <w:rPr>
          <w:rFonts w:cs="David" w:hint="cs"/>
          <w:b/>
          <w:bCs/>
          <w:sz w:val="24"/>
          <w:szCs w:val="24"/>
          <w:rtl/>
        </w:rPr>
        <w:t>לפי מצב הרוח האישי</w:t>
      </w:r>
      <w:r w:rsidRPr="00AB0024">
        <w:rPr>
          <w:rFonts w:cs="David" w:hint="cs"/>
          <w:b/>
          <w:bCs/>
          <w:sz w:val="24"/>
          <w:szCs w:val="24"/>
          <w:rtl/>
        </w:rPr>
        <w:t>)</w:t>
      </w:r>
    </w:p>
    <w:p w14:paraId="7B094400" w14:textId="2D82B2A1" w:rsidR="00E8637D" w:rsidRDefault="00E8637D" w:rsidP="006E799D">
      <w:pPr>
        <w:spacing w:after="200" w:line="360" w:lineRule="auto"/>
        <w:ind w:firstLine="395"/>
        <w:contextualSpacing/>
        <w:rPr>
          <w:rFonts w:cs="David"/>
          <w:sz w:val="24"/>
          <w:szCs w:val="24"/>
          <w:u w:val="single"/>
          <w:rtl/>
        </w:rPr>
      </w:pPr>
      <w:r w:rsidRPr="00E8637D">
        <w:rPr>
          <w:rFonts w:cs="David" w:hint="cs"/>
          <w:noProof/>
          <w:sz w:val="24"/>
          <w:szCs w:val="24"/>
          <w:rtl/>
        </w:rPr>
        <w:drawing>
          <wp:inline distT="0" distB="0" distL="0" distR="0" wp14:anchorId="0A0BA348" wp14:editId="16B68454">
            <wp:extent cx="5505450" cy="2543175"/>
            <wp:effectExtent l="0" t="0" r="0" b="0"/>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03F5F9" w14:textId="77777777" w:rsidR="00F560B2" w:rsidRDefault="00F560B2" w:rsidP="00F560B2">
      <w:pPr>
        <w:spacing w:after="200" w:line="360" w:lineRule="auto"/>
        <w:contextualSpacing/>
        <w:rPr>
          <w:rFonts w:cs="David"/>
          <w:sz w:val="24"/>
          <w:szCs w:val="24"/>
          <w:u w:val="single"/>
          <w:rtl/>
        </w:rPr>
      </w:pPr>
    </w:p>
    <w:p w14:paraId="427C870A" w14:textId="219C5AAA" w:rsidR="00F560B2" w:rsidRDefault="00F560B2" w:rsidP="008E5F6C">
      <w:pPr>
        <w:spacing w:after="200" w:line="360" w:lineRule="auto"/>
        <w:contextualSpacing/>
        <w:rPr>
          <w:rFonts w:cs="David"/>
          <w:sz w:val="24"/>
          <w:szCs w:val="24"/>
          <w:rtl/>
        </w:rPr>
      </w:pPr>
      <w:r>
        <w:rPr>
          <w:rFonts w:cs="David" w:hint="cs"/>
          <w:sz w:val="24"/>
          <w:szCs w:val="24"/>
          <w:u w:val="single"/>
          <w:rtl/>
        </w:rPr>
        <w:t xml:space="preserve">ובמבט </w:t>
      </w:r>
      <w:r w:rsidR="00A72D16">
        <w:rPr>
          <w:rFonts w:cs="David" w:hint="cs"/>
          <w:sz w:val="24"/>
          <w:szCs w:val="24"/>
          <w:u w:val="single"/>
          <w:rtl/>
        </w:rPr>
        <w:t>לשנה החדשה</w:t>
      </w:r>
      <w:r>
        <w:rPr>
          <w:rFonts w:cs="David" w:hint="cs"/>
          <w:sz w:val="24"/>
          <w:szCs w:val="24"/>
          <w:u w:val="single"/>
          <w:rtl/>
        </w:rPr>
        <w:t xml:space="preserve"> </w:t>
      </w:r>
    </w:p>
    <w:p w14:paraId="2CD943E7" w14:textId="1E0D88BF" w:rsidR="00D51EB3" w:rsidRDefault="00D51EB3" w:rsidP="008E5F6C">
      <w:pPr>
        <w:spacing w:after="200" w:line="360" w:lineRule="auto"/>
        <w:jc w:val="both"/>
        <w:rPr>
          <w:rFonts w:cs="David"/>
          <w:b/>
          <w:bCs/>
          <w:sz w:val="24"/>
          <w:szCs w:val="24"/>
          <w:rtl/>
        </w:rPr>
      </w:pPr>
      <w:r w:rsidRPr="008E5F6C">
        <w:rPr>
          <w:rFonts w:cs="David" w:hint="cs"/>
          <w:sz w:val="24"/>
          <w:szCs w:val="24"/>
          <w:rtl/>
        </w:rPr>
        <w:t xml:space="preserve">המבט הפסימי כלפי העתיד בא לידי ביטוי גם בשאלה ישירה לגבי השנה העומדת בפתח. </w:t>
      </w:r>
      <w:r w:rsidR="00D27CA5" w:rsidRPr="008E5F6C">
        <w:rPr>
          <w:rFonts w:cs="David" w:hint="cs"/>
          <w:sz w:val="24"/>
          <w:szCs w:val="24"/>
          <w:rtl/>
        </w:rPr>
        <w:t>כנראה בהשפע</w:t>
      </w:r>
      <w:r w:rsidR="00A72D16" w:rsidRPr="008E5F6C">
        <w:rPr>
          <w:rFonts w:cs="David" w:hint="cs"/>
          <w:sz w:val="24"/>
          <w:szCs w:val="24"/>
          <w:rtl/>
        </w:rPr>
        <w:t>ה משולבת של</w:t>
      </w:r>
      <w:r w:rsidR="00D27CA5" w:rsidRPr="008E5F6C">
        <w:rPr>
          <w:rFonts w:cs="David" w:hint="cs"/>
          <w:sz w:val="24"/>
          <w:szCs w:val="24"/>
          <w:rtl/>
        </w:rPr>
        <w:t xml:space="preserve"> משבר ה</w:t>
      </w:r>
      <w:bookmarkStart w:id="0" w:name="_GoBack"/>
      <w:r w:rsidR="00D27CA5" w:rsidRPr="008E5F6C">
        <w:rPr>
          <w:rFonts w:cs="David" w:hint="cs"/>
          <w:sz w:val="24"/>
          <w:szCs w:val="24"/>
          <w:rtl/>
        </w:rPr>
        <w:t>קורונה</w:t>
      </w:r>
      <w:bookmarkEnd w:id="0"/>
      <w:r w:rsidRPr="008E5F6C">
        <w:rPr>
          <w:rFonts w:cs="David" w:hint="cs"/>
          <w:sz w:val="24"/>
          <w:szCs w:val="24"/>
          <w:rtl/>
        </w:rPr>
        <w:t xml:space="preserve"> ה</w:t>
      </w:r>
      <w:r w:rsidR="00F34042" w:rsidRPr="008E5F6C">
        <w:rPr>
          <w:rFonts w:cs="David" w:hint="cs"/>
          <w:sz w:val="24"/>
          <w:szCs w:val="24"/>
          <w:rtl/>
        </w:rPr>
        <w:t xml:space="preserve">מחמיר </w:t>
      </w:r>
      <w:r w:rsidR="00A72D16" w:rsidRPr="008E5F6C">
        <w:rPr>
          <w:rFonts w:cs="David" w:hint="cs"/>
          <w:sz w:val="24"/>
          <w:szCs w:val="24"/>
          <w:rtl/>
        </w:rPr>
        <w:t>שסופו אינן נראה באופק והמשבר הפוליטי המתמשך</w:t>
      </w:r>
      <w:r w:rsidR="00F34042" w:rsidRPr="008E5F6C">
        <w:rPr>
          <w:rFonts w:cs="David" w:hint="cs"/>
          <w:sz w:val="24"/>
          <w:szCs w:val="24"/>
          <w:rtl/>
        </w:rPr>
        <w:t>,</w:t>
      </w:r>
      <w:r w:rsidR="00A72D16" w:rsidRPr="008E5F6C">
        <w:rPr>
          <w:rFonts w:cs="David" w:hint="cs"/>
          <w:sz w:val="24"/>
          <w:szCs w:val="24"/>
          <w:rtl/>
        </w:rPr>
        <w:t xml:space="preserve"> רק</w:t>
      </w:r>
      <w:r w:rsidRPr="008E5F6C">
        <w:rPr>
          <w:rFonts w:cs="David" w:hint="cs"/>
          <w:sz w:val="24"/>
          <w:szCs w:val="24"/>
          <w:rtl/>
        </w:rPr>
        <w:t xml:space="preserve"> מיעוט (27%) </w:t>
      </w:r>
      <w:r w:rsidR="00D27CA5" w:rsidRPr="008E5F6C">
        <w:rPr>
          <w:rFonts w:cs="David" w:hint="cs"/>
          <w:sz w:val="24"/>
          <w:szCs w:val="24"/>
          <w:rtl/>
        </w:rPr>
        <w:t>סבורים ש</w:t>
      </w:r>
      <w:r w:rsidRPr="008E5F6C">
        <w:rPr>
          <w:rFonts w:cs="David" w:hint="cs"/>
          <w:sz w:val="24"/>
          <w:szCs w:val="24"/>
          <w:rtl/>
        </w:rPr>
        <w:t xml:space="preserve">מבחינת המדינה, </w:t>
      </w:r>
      <w:r w:rsidR="00D27CA5" w:rsidRPr="008E5F6C">
        <w:rPr>
          <w:rFonts w:cs="David" w:hint="cs"/>
          <w:sz w:val="24"/>
          <w:szCs w:val="24"/>
          <w:rtl/>
        </w:rPr>
        <w:t>השנה הקרובה, תשפ"א, תהיה טובה יותר מזו שמסתיימת</w:t>
      </w:r>
      <w:r w:rsidR="008E5F6C">
        <w:rPr>
          <w:rFonts w:cs="David" w:hint="cs"/>
          <w:sz w:val="24"/>
          <w:szCs w:val="24"/>
          <w:rtl/>
        </w:rPr>
        <w:t>,</w:t>
      </w:r>
      <w:r w:rsidRPr="008E5F6C">
        <w:rPr>
          <w:rFonts w:cs="David" w:hint="cs"/>
          <w:sz w:val="24"/>
          <w:szCs w:val="24"/>
          <w:rtl/>
        </w:rPr>
        <w:t xml:space="preserve"> ואילו </w:t>
      </w:r>
      <w:r w:rsidR="00A72D16" w:rsidRPr="008E5F6C">
        <w:rPr>
          <w:rFonts w:cs="David" w:hint="cs"/>
          <w:sz w:val="24"/>
          <w:szCs w:val="24"/>
          <w:rtl/>
        </w:rPr>
        <w:t>השיעור הגבוה ביותר (</w:t>
      </w:r>
      <w:r w:rsidR="00D27CA5" w:rsidRPr="008E5F6C">
        <w:rPr>
          <w:rFonts w:cs="David" w:hint="cs"/>
          <w:sz w:val="24"/>
          <w:szCs w:val="24"/>
          <w:rtl/>
        </w:rPr>
        <w:t>40%</w:t>
      </w:r>
      <w:r w:rsidR="00A72D16" w:rsidRPr="008E5F6C">
        <w:rPr>
          <w:rFonts w:cs="David" w:hint="cs"/>
          <w:sz w:val="24"/>
          <w:szCs w:val="24"/>
          <w:rtl/>
        </w:rPr>
        <w:t>) צופים</w:t>
      </w:r>
      <w:r w:rsidR="002F676C" w:rsidRPr="008E5F6C">
        <w:rPr>
          <w:rFonts w:cs="David" w:hint="cs"/>
          <w:sz w:val="24"/>
          <w:szCs w:val="24"/>
          <w:rtl/>
        </w:rPr>
        <w:t xml:space="preserve"> </w:t>
      </w:r>
      <w:r w:rsidR="00D27CA5" w:rsidRPr="008E5F6C">
        <w:rPr>
          <w:rFonts w:cs="David" w:hint="cs"/>
          <w:sz w:val="24"/>
          <w:szCs w:val="24"/>
          <w:rtl/>
        </w:rPr>
        <w:t>שהשנה</w:t>
      </w:r>
      <w:r w:rsidR="00A72D16" w:rsidRPr="008E5F6C">
        <w:rPr>
          <w:rFonts w:cs="David" w:hint="cs"/>
          <w:sz w:val="24"/>
          <w:szCs w:val="24"/>
          <w:rtl/>
        </w:rPr>
        <w:t xml:space="preserve"> החדשה</w:t>
      </w:r>
      <w:r w:rsidR="002F676C" w:rsidRPr="008E5F6C">
        <w:rPr>
          <w:rFonts w:cs="David" w:hint="cs"/>
          <w:sz w:val="24"/>
          <w:szCs w:val="24"/>
          <w:rtl/>
        </w:rPr>
        <w:t xml:space="preserve"> </w:t>
      </w:r>
      <w:r w:rsidR="00D27CA5" w:rsidRPr="008E5F6C">
        <w:rPr>
          <w:rFonts w:cs="David" w:hint="cs"/>
          <w:sz w:val="24"/>
          <w:szCs w:val="24"/>
          <w:rtl/>
        </w:rPr>
        <w:t>תהיה פחות טובה מקודמתה</w:t>
      </w:r>
      <w:r w:rsidR="00A72D16" w:rsidRPr="008E5F6C">
        <w:rPr>
          <w:rFonts w:cs="David" w:hint="cs"/>
          <w:sz w:val="24"/>
          <w:szCs w:val="24"/>
          <w:rtl/>
        </w:rPr>
        <w:t xml:space="preserve">. </w:t>
      </w:r>
    </w:p>
    <w:p w14:paraId="4B91CF40" w14:textId="77777777" w:rsidR="00430767" w:rsidRPr="008E5F6C" w:rsidRDefault="00430767" w:rsidP="008E5F6C">
      <w:pPr>
        <w:spacing w:after="200" w:line="360" w:lineRule="auto"/>
        <w:jc w:val="both"/>
        <w:rPr>
          <w:rFonts w:cs="David"/>
          <w:b/>
          <w:bCs/>
          <w:sz w:val="24"/>
          <w:szCs w:val="24"/>
        </w:rPr>
      </w:pPr>
    </w:p>
    <w:p w14:paraId="45B1EB1C" w14:textId="6A612BC6" w:rsidR="00404FE5" w:rsidRPr="009A67FC" w:rsidRDefault="00404FE5" w:rsidP="008E5F6C">
      <w:pPr>
        <w:spacing w:after="200" w:line="360" w:lineRule="auto"/>
        <w:jc w:val="both"/>
        <w:rPr>
          <w:rFonts w:cs="David"/>
          <w:b/>
          <w:bCs/>
          <w:sz w:val="24"/>
          <w:szCs w:val="24"/>
          <w:rtl/>
        </w:rPr>
      </w:pPr>
      <w:r w:rsidRPr="009A67FC">
        <w:rPr>
          <w:rFonts w:cs="David"/>
          <w:b/>
          <w:bCs/>
          <w:sz w:val="24"/>
          <w:szCs w:val="24"/>
          <w:rtl/>
        </w:rPr>
        <w:lastRenderedPageBreak/>
        <w:t>איך לדעתך באופן כללי תהיה השנה החדשה מבחינת המדינה?</w:t>
      </w:r>
      <w:r w:rsidRPr="009A67FC">
        <w:rPr>
          <w:rFonts w:cs="David" w:hint="cs"/>
          <w:b/>
          <w:bCs/>
          <w:sz w:val="24"/>
          <w:szCs w:val="24"/>
          <w:rtl/>
        </w:rPr>
        <w:t xml:space="preserve"> (%, כלל המדגם)</w:t>
      </w:r>
    </w:p>
    <w:p w14:paraId="49C59E5B" w14:textId="3D58DA6E" w:rsidR="00404FE5" w:rsidRPr="00404FE5" w:rsidRDefault="00404FE5" w:rsidP="008E5F6C">
      <w:pPr>
        <w:spacing w:after="200" w:line="360" w:lineRule="auto"/>
        <w:jc w:val="both"/>
        <w:rPr>
          <w:rFonts w:cs="David"/>
          <w:b/>
          <w:bCs/>
          <w:sz w:val="24"/>
          <w:szCs w:val="24"/>
        </w:rPr>
      </w:pPr>
      <w:r>
        <w:rPr>
          <w:rFonts w:cs="David"/>
          <w:b/>
          <w:bCs/>
          <w:noProof/>
          <w:sz w:val="24"/>
          <w:szCs w:val="24"/>
          <w:rtl/>
        </w:rPr>
        <w:drawing>
          <wp:inline distT="0" distB="0" distL="0" distR="0" wp14:anchorId="14C091D8" wp14:editId="2D8BDE02">
            <wp:extent cx="5619750" cy="2600325"/>
            <wp:effectExtent l="0" t="0" r="0" b="0"/>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812FFB" w14:textId="704927EF" w:rsidR="00404FE5" w:rsidRPr="008E5F6C" w:rsidRDefault="00404FE5" w:rsidP="008E5F6C">
      <w:pPr>
        <w:spacing w:after="120" w:line="360" w:lineRule="auto"/>
        <w:ind w:left="-30"/>
        <w:jc w:val="both"/>
        <w:rPr>
          <w:rFonts w:cs="David"/>
          <w:sz w:val="24"/>
          <w:szCs w:val="24"/>
        </w:rPr>
      </w:pPr>
      <w:r w:rsidRPr="008E5F6C">
        <w:rPr>
          <w:rFonts w:cs="David" w:hint="cs"/>
          <w:sz w:val="24"/>
          <w:szCs w:val="24"/>
          <w:rtl/>
        </w:rPr>
        <w:t xml:space="preserve">בימין </w:t>
      </w:r>
      <w:r w:rsidR="00F34042" w:rsidRPr="008E5F6C">
        <w:rPr>
          <w:rFonts w:cs="David" w:hint="cs"/>
          <w:sz w:val="24"/>
          <w:szCs w:val="24"/>
          <w:rtl/>
        </w:rPr>
        <w:t xml:space="preserve">(מדגם יהודים) </w:t>
      </w:r>
      <w:r w:rsidRPr="008E5F6C">
        <w:rPr>
          <w:rFonts w:cs="David" w:hint="cs"/>
          <w:sz w:val="24"/>
          <w:szCs w:val="24"/>
          <w:rtl/>
        </w:rPr>
        <w:t>שיעור הסבורים כי השנה הבאה תהיה טובה מקודמתה (36%) גבוה מהשיעור במרכז ובשמאל (17% ו- 10.5%, בהתאמה).</w:t>
      </w:r>
    </w:p>
    <w:p w14:paraId="1AB52A77" w14:textId="48FC7054" w:rsidR="0080609C" w:rsidRPr="008E5F6C" w:rsidRDefault="005E2097" w:rsidP="008E5F6C">
      <w:pPr>
        <w:spacing w:after="120" w:line="360" w:lineRule="auto"/>
        <w:ind w:left="-30"/>
        <w:jc w:val="both"/>
        <w:rPr>
          <w:rFonts w:cs="David"/>
          <w:sz w:val="24"/>
          <w:szCs w:val="24"/>
        </w:rPr>
      </w:pPr>
      <w:r w:rsidRPr="008E5F6C">
        <w:rPr>
          <w:rFonts w:cs="David" w:hint="cs"/>
          <w:sz w:val="24"/>
          <w:szCs w:val="24"/>
          <w:rtl/>
        </w:rPr>
        <w:t xml:space="preserve">השנה </w:t>
      </w:r>
      <w:r w:rsidR="0080609C" w:rsidRPr="008E5F6C">
        <w:rPr>
          <w:rFonts w:cs="David" w:hint="cs"/>
          <w:sz w:val="24"/>
          <w:szCs w:val="24"/>
          <w:rtl/>
        </w:rPr>
        <w:t xml:space="preserve">שיעור </w:t>
      </w:r>
      <w:r w:rsidRPr="008E5F6C">
        <w:rPr>
          <w:rFonts w:cs="David" w:hint="cs"/>
          <w:sz w:val="24"/>
          <w:szCs w:val="24"/>
          <w:rtl/>
        </w:rPr>
        <w:t>הסבורים כי השנה הבאה תהיה טובה פחות מקודמתה</w:t>
      </w:r>
      <w:r w:rsidR="002F676C" w:rsidRPr="008E5F6C">
        <w:rPr>
          <w:rFonts w:cs="David" w:hint="cs"/>
          <w:sz w:val="24"/>
          <w:szCs w:val="24"/>
          <w:rtl/>
        </w:rPr>
        <w:t xml:space="preserve"> </w:t>
      </w:r>
      <w:r w:rsidR="0080609C" w:rsidRPr="008E5F6C">
        <w:rPr>
          <w:rFonts w:cs="David" w:hint="cs"/>
          <w:sz w:val="24"/>
          <w:szCs w:val="24"/>
          <w:rtl/>
        </w:rPr>
        <w:t xml:space="preserve">(41%) גבוה משמעותית </w:t>
      </w:r>
      <w:r w:rsidRPr="008E5F6C">
        <w:rPr>
          <w:rFonts w:cs="David" w:hint="cs"/>
          <w:sz w:val="24"/>
          <w:szCs w:val="24"/>
          <w:rtl/>
        </w:rPr>
        <w:t>מזה שנמצא במדידות קודמות</w:t>
      </w:r>
      <w:r w:rsidR="0080609C" w:rsidRPr="008E5F6C">
        <w:rPr>
          <w:rFonts w:cs="David" w:hint="cs"/>
          <w:sz w:val="24"/>
          <w:szCs w:val="24"/>
          <w:rtl/>
        </w:rPr>
        <w:t xml:space="preserve"> בעשור האחרון</w:t>
      </w:r>
      <w:r w:rsidRPr="008E5F6C">
        <w:rPr>
          <w:rFonts w:cs="David" w:hint="cs"/>
          <w:sz w:val="24"/>
          <w:szCs w:val="24"/>
          <w:rtl/>
        </w:rPr>
        <w:t>.</w:t>
      </w:r>
    </w:p>
    <w:p w14:paraId="572F79BC" w14:textId="3AD59482" w:rsidR="00404FE5" w:rsidRPr="008E5F6C" w:rsidRDefault="00404FE5" w:rsidP="008E5F6C">
      <w:pPr>
        <w:spacing w:after="120" w:line="360" w:lineRule="auto"/>
        <w:ind w:left="-30"/>
        <w:jc w:val="both"/>
        <w:rPr>
          <w:rFonts w:cs="David"/>
          <w:b/>
          <w:bCs/>
          <w:sz w:val="24"/>
          <w:szCs w:val="24"/>
          <w:rtl/>
        </w:rPr>
      </w:pPr>
      <w:r w:rsidRPr="008E5F6C">
        <w:rPr>
          <w:rFonts w:cs="David" w:hint="cs"/>
          <w:b/>
          <w:bCs/>
          <w:sz w:val="24"/>
          <w:szCs w:val="24"/>
          <w:rtl/>
        </w:rPr>
        <w:t xml:space="preserve">השנה הקרובה תהיה </w:t>
      </w:r>
      <w:r w:rsidRPr="008E5F6C">
        <w:rPr>
          <w:rFonts w:cs="David" w:hint="cs"/>
          <w:b/>
          <w:bCs/>
          <w:sz w:val="24"/>
          <w:szCs w:val="24"/>
          <w:u w:val="single"/>
          <w:rtl/>
        </w:rPr>
        <w:t>פחות טובה</w:t>
      </w:r>
      <w:r w:rsidRPr="008E5F6C">
        <w:rPr>
          <w:rFonts w:cs="David" w:hint="cs"/>
          <w:b/>
          <w:bCs/>
          <w:sz w:val="24"/>
          <w:szCs w:val="24"/>
          <w:rtl/>
        </w:rPr>
        <w:t xml:space="preserve"> מקודמתה (%, כלל הציבור)</w:t>
      </w:r>
    </w:p>
    <w:p w14:paraId="2EAF1C70" w14:textId="1D43782F" w:rsidR="00404FE5" w:rsidRPr="00404FE5" w:rsidRDefault="00404FE5" w:rsidP="00404FE5">
      <w:pPr>
        <w:spacing w:after="200" w:line="360" w:lineRule="auto"/>
        <w:ind w:left="360"/>
        <w:jc w:val="both"/>
        <w:rPr>
          <w:rFonts w:cs="David"/>
          <w:b/>
          <w:bCs/>
          <w:sz w:val="24"/>
          <w:szCs w:val="24"/>
          <w:rtl/>
        </w:rPr>
      </w:pPr>
      <w:r>
        <w:rPr>
          <w:rFonts w:cs="David" w:hint="cs"/>
          <w:noProof/>
          <w:sz w:val="24"/>
          <w:szCs w:val="24"/>
          <w:rtl/>
        </w:rPr>
        <w:drawing>
          <wp:inline distT="0" distB="0" distL="0" distR="0" wp14:anchorId="40666888" wp14:editId="03D33067">
            <wp:extent cx="5486400" cy="2686050"/>
            <wp:effectExtent l="0" t="0" r="0" b="0"/>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120AF2" w14:textId="77777777" w:rsidR="00430767" w:rsidRDefault="00430767" w:rsidP="00AD018C">
      <w:pPr>
        <w:spacing w:after="200" w:line="360" w:lineRule="auto"/>
        <w:ind w:left="95"/>
        <w:contextualSpacing/>
        <w:jc w:val="both"/>
        <w:rPr>
          <w:rFonts w:ascii="David" w:eastAsia="Times New Roman" w:hAnsi="David" w:cs="David"/>
          <w:i/>
          <w:iCs/>
          <w:sz w:val="24"/>
          <w:szCs w:val="24"/>
          <w:shd w:val="clear" w:color="auto" w:fill="FFFFFF"/>
          <w:rtl/>
        </w:rPr>
      </w:pPr>
    </w:p>
    <w:p w14:paraId="6357E059" w14:textId="59634703" w:rsidR="00811EFD" w:rsidRPr="001F0FFA" w:rsidRDefault="00811EFD" w:rsidP="00AD018C">
      <w:pPr>
        <w:spacing w:after="200" w:line="360" w:lineRule="auto"/>
        <w:ind w:left="95"/>
        <w:contextualSpacing/>
        <w:jc w:val="both"/>
        <w:rPr>
          <w:rFonts w:ascii="David" w:eastAsia="Times New Roman" w:hAnsi="David" w:cs="David"/>
          <w:i/>
          <w:iCs/>
          <w:sz w:val="24"/>
          <w:szCs w:val="24"/>
        </w:rPr>
      </w:pPr>
      <w:r w:rsidRPr="001F0FFA">
        <w:rPr>
          <w:rFonts w:ascii="David" w:eastAsia="Times New Roman" w:hAnsi="David" w:cs="David"/>
          <w:i/>
          <w:iCs/>
          <w:sz w:val="24"/>
          <w:szCs w:val="24"/>
          <w:shd w:val="clear" w:color="auto" w:fill="FFFFFF"/>
          <w:rtl/>
        </w:rPr>
        <w:t>מדד הקול הישראלי</w:t>
      </w:r>
      <w:r w:rsidR="00AD018C">
        <w:rPr>
          <w:rFonts w:ascii="David" w:eastAsia="Times New Roman" w:hAnsi="David" w:cs="David" w:hint="cs"/>
          <w:i/>
          <w:iCs/>
          <w:sz w:val="24"/>
          <w:szCs w:val="24"/>
          <w:shd w:val="clear" w:color="auto" w:fill="FFFFFF"/>
          <w:rtl/>
        </w:rPr>
        <w:t xml:space="preserve"> אוגוסט</w:t>
      </w:r>
      <w:r>
        <w:rPr>
          <w:rFonts w:ascii="David" w:eastAsia="Times New Roman" w:hAnsi="David" w:cs="David" w:hint="cs"/>
          <w:i/>
          <w:iCs/>
          <w:sz w:val="24"/>
          <w:szCs w:val="24"/>
          <w:shd w:val="clear" w:color="auto" w:fill="FFFFFF"/>
          <w:rtl/>
        </w:rPr>
        <w:t xml:space="preserve"> 2020</w:t>
      </w:r>
      <w:r w:rsidRPr="001F0FFA">
        <w:rPr>
          <w:rFonts w:ascii="David" w:eastAsia="Times New Roman" w:hAnsi="David" w:cs="David"/>
          <w:i/>
          <w:iCs/>
          <w:sz w:val="24"/>
          <w:szCs w:val="24"/>
          <w:shd w:val="clear" w:color="auto" w:fill="FFFFFF"/>
          <w:rtl/>
        </w:rPr>
        <w:t xml:space="preserve"> נערך על- ידי מרכז גוטמן לחקר דעת קהל והמדיניות במכון הישראלי לדמוקרטיה. בסקר, שנערך באינטרנט ובטלפון (השלמות של קבוצות שאינן מיוצגות כראוי במרשתת) בין התאריכים</w:t>
      </w:r>
      <w:r w:rsidR="00AD018C">
        <w:rPr>
          <w:rFonts w:ascii="David" w:eastAsia="Times New Roman" w:hAnsi="David" w:cs="David" w:hint="cs"/>
          <w:i/>
          <w:iCs/>
          <w:sz w:val="24"/>
          <w:szCs w:val="24"/>
          <w:shd w:val="clear" w:color="auto" w:fill="FFFFFF"/>
          <w:rtl/>
        </w:rPr>
        <w:t xml:space="preserve"> 31/8-2/9/2020</w:t>
      </w:r>
      <w:r w:rsidRPr="001F0FFA">
        <w:rPr>
          <w:rFonts w:ascii="David" w:eastAsia="Times New Roman" w:hAnsi="David" w:cs="David" w:hint="cs"/>
          <w:i/>
          <w:iCs/>
          <w:sz w:val="24"/>
          <w:szCs w:val="24"/>
          <w:shd w:val="clear" w:color="auto" w:fill="FFFFFF"/>
          <w:rtl/>
        </w:rPr>
        <w:t xml:space="preserve">, </w:t>
      </w:r>
      <w:r w:rsidRPr="001F0FFA">
        <w:rPr>
          <w:rFonts w:ascii="David" w:eastAsia="Times New Roman" w:hAnsi="David" w:cs="David"/>
          <w:i/>
          <w:iCs/>
          <w:sz w:val="24"/>
          <w:szCs w:val="24"/>
          <w:shd w:val="clear" w:color="auto" w:fill="FFFFFF"/>
          <w:rtl/>
        </w:rPr>
        <w:t>רואיינו</w:t>
      </w:r>
      <w:r w:rsidRPr="001F0FFA">
        <w:rPr>
          <w:rFonts w:ascii="David" w:eastAsia="Times New Roman" w:hAnsi="David" w:cs="David" w:hint="cs"/>
          <w:i/>
          <w:iCs/>
          <w:sz w:val="24"/>
          <w:szCs w:val="24"/>
          <w:shd w:val="clear" w:color="auto" w:fill="FFFFFF"/>
          <w:rtl/>
        </w:rPr>
        <w:t xml:space="preserve"> 6</w:t>
      </w:r>
      <w:r>
        <w:rPr>
          <w:rFonts w:ascii="David" w:eastAsia="Times New Roman" w:hAnsi="David" w:cs="David" w:hint="cs"/>
          <w:i/>
          <w:iCs/>
          <w:sz w:val="24"/>
          <w:szCs w:val="24"/>
          <w:shd w:val="clear" w:color="auto" w:fill="FFFFFF"/>
          <w:rtl/>
        </w:rPr>
        <w:t>0</w:t>
      </w:r>
      <w:r w:rsidR="00AD018C">
        <w:rPr>
          <w:rFonts w:ascii="David" w:eastAsia="Times New Roman" w:hAnsi="David" w:cs="David" w:hint="cs"/>
          <w:i/>
          <w:iCs/>
          <w:sz w:val="24"/>
          <w:szCs w:val="24"/>
          <w:shd w:val="clear" w:color="auto" w:fill="FFFFFF"/>
          <w:rtl/>
        </w:rPr>
        <w:t>5</w:t>
      </w:r>
      <w:r w:rsidRPr="001F0FFA">
        <w:rPr>
          <w:rFonts w:ascii="David" w:eastAsia="Times New Roman" w:hAnsi="David" w:cs="David"/>
          <w:i/>
          <w:iCs/>
          <w:sz w:val="24"/>
          <w:szCs w:val="24"/>
          <w:shd w:val="clear" w:color="auto" w:fill="FFFFFF"/>
          <w:rtl/>
        </w:rPr>
        <w:t xml:space="preserve"> איש ואשה בשפה העברית ו</w:t>
      </w:r>
      <w:r w:rsidRPr="001F0FFA">
        <w:rPr>
          <w:rFonts w:ascii="David" w:eastAsia="Times New Roman" w:hAnsi="David" w:cs="David" w:hint="cs"/>
          <w:i/>
          <w:iCs/>
          <w:sz w:val="24"/>
          <w:szCs w:val="24"/>
          <w:shd w:val="clear" w:color="auto" w:fill="FFFFFF"/>
          <w:rtl/>
        </w:rPr>
        <w:t>-1</w:t>
      </w:r>
      <w:r w:rsidR="00AD018C">
        <w:rPr>
          <w:rFonts w:ascii="David" w:eastAsia="Times New Roman" w:hAnsi="David" w:cs="David" w:hint="cs"/>
          <w:i/>
          <w:iCs/>
          <w:sz w:val="24"/>
          <w:szCs w:val="24"/>
          <w:shd w:val="clear" w:color="auto" w:fill="FFFFFF"/>
          <w:rtl/>
        </w:rPr>
        <w:t>45</w:t>
      </w:r>
      <w:r w:rsidRPr="001F0FFA">
        <w:rPr>
          <w:rFonts w:ascii="David" w:eastAsia="Times New Roman" w:hAnsi="David" w:cs="David"/>
          <w:i/>
          <w:iCs/>
          <w:sz w:val="24"/>
          <w:szCs w:val="24"/>
          <w:shd w:val="clear" w:color="auto" w:fill="FFFFFF"/>
          <w:rtl/>
        </w:rPr>
        <w:t xml:space="preserve"> בשפה הערבית, המהווים מדגם ארצי מייצג של כלל האוכלוסייה הבוגרת בישראל בגילאי 18 ומעלה. טעות הדגימה המרבית לכלל המדגם 3.7%± ברמת ביטחון של 95%. עבודת השדה בוצעה על ידי מכון </w:t>
      </w:r>
      <w:r w:rsidRPr="001F0FFA">
        <w:rPr>
          <w:rFonts w:ascii="David" w:eastAsia="Times New Roman" w:hAnsi="David" w:cs="David" w:hint="cs"/>
          <w:i/>
          <w:iCs/>
          <w:sz w:val="24"/>
          <w:szCs w:val="24"/>
          <w:shd w:val="clear" w:color="auto" w:fill="FFFFFF"/>
          <w:rtl/>
        </w:rPr>
        <w:t>מדגם</w:t>
      </w:r>
      <w:r w:rsidRPr="001F0FFA">
        <w:rPr>
          <w:rFonts w:ascii="David" w:eastAsia="Times New Roman" w:hAnsi="David" w:cs="David"/>
          <w:i/>
          <w:iCs/>
          <w:sz w:val="24"/>
          <w:szCs w:val="24"/>
          <w:shd w:val="clear" w:color="auto" w:fill="FFFFFF"/>
          <w:rtl/>
        </w:rPr>
        <w:t xml:space="preserve">. לקובץ הנתונים המלא ראו: </w:t>
      </w:r>
      <w:hyperlink r:id="rId21" w:tgtFrame="_blank" w:history="1">
        <w:r w:rsidRPr="001F0FFA">
          <w:rPr>
            <w:rFonts w:ascii="David" w:eastAsia="Times New Roman" w:hAnsi="David" w:cs="David"/>
            <w:i/>
            <w:iCs/>
            <w:color w:val="0000FF"/>
            <w:sz w:val="24"/>
            <w:szCs w:val="24"/>
            <w:u w:val="single"/>
            <w:shd w:val="clear" w:color="auto" w:fill="FFFFFF"/>
          </w:rPr>
          <w:t>https://dataisrael.idi.org.il</w:t>
        </w:r>
      </w:hyperlink>
    </w:p>
    <w:p w14:paraId="3D46A740" w14:textId="77777777" w:rsidR="00811EFD" w:rsidRPr="00072113" w:rsidRDefault="00811EFD" w:rsidP="00811EFD">
      <w:pPr>
        <w:spacing w:line="360" w:lineRule="auto"/>
        <w:rPr>
          <w:rFonts w:ascii="David" w:hAnsi="David" w:cs="David"/>
          <w:sz w:val="24"/>
          <w:szCs w:val="24"/>
          <w:rtl/>
        </w:rPr>
      </w:pPr>
    </w:p>
    <w:sectPr w:rsidR="00811EFD" w:rsidRPr="00072113" w:rsidSect="00DB736E">
      <w:footerReference w:type="default" r:id="rId22"/>
      <w:pgSz w:w="11906" w:h="16838"/>
      <w:pgMar w:top="1361" w:right="1418" w:bottom="1021" w:left="1304" w:header="709" w:footer="46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37E05" w14:textId="77777777" w:rsidR="00167673" w:rsidRDefault="00167673" w:rsidP="00E67CA8">
      <w:pPr>
        <w:spacing w:after="0" w:line="240" w:lineRule="auto"/>
      </w:pPr>
      <w:r>
        <w:separator/>
      </w:r>
    </w:p>
  </w:endnote>
  <w:endnote w:type="continuationSeparator" w:id="0">
    <w:p w14:paraId="7A5BE63A" w14:textId="77777777" w:rsidR="00167673" w:rsidRDefault="00167673" w:rsidP="00E6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21293501"/>
      <w:docPartObj>
        <w:docPartGallery w:val="Page Numbers (Bottom of Page)"/>
        <w:docPartUnique/>
      </w:docPartObj>
    </w:sdtPr>
    <w:sdtEndPr>
      <w:rPr>
        <w:sz w:val="20"/>
        <w:szCs w:val="20"/>
      </w:rPr>
    </w:sdtEndPr>
    <w:sdtContent>
      <w:p w14:paraId="1CE9F73B" w14:textId="4886D215" w:rsidR="003F4594" w:rsidRPr="0022506D" w:rsidRDefault="003F4594">
        <w:pPr>
          <w:pStyle w:val="ae"/>
          <w:jc w:val="center"/>
          <w:rPr>
            <w:sz w:val="20"/>
            <w:szCs w:val="20"/>
            <w:rtl/>
            <w:cs/>
          </w:rPr>
        </w:pPr>
        <w:r w:rsidRPr="0022506D">
          <w:rPr>
            <w:sz w:val="20"/>
            <w:szCs w:val="20"/>
          </w:rPr>
          <w:fldChar w:fldCharType="begin"/>
        </w:r>
        <w:r w:rsidRPr="0022506D">
          <w:rPr>
            <w:sz w:val="20"/>
            <w:szCs w:val="20"/>
            <w:rtl/>
            <w:cs/>
          </w:rPr>
          <w:instrText>PAGE   \* MERGEFORMAT</w:instrText>
        </w:r>
        <w:r w:rsidRPr="0022506D">
          <w:rPr>
            <w:sz w:val="20"/>
            <w:szCs w:val="20"/>
          </w:rPr>
          <w:fldChar w:fldCharType="separate"/>
        </w:r>
        <w:r w:rsidR="00430767" w:rsidRPr="00430767">
          <w:rPr>
            <w:noProof/>
            <w:sz w:val="20"/>
            <w:szCs w:val="20"/>
            <w:rtl/>
            <w:lang w:val="he-IL"/>
          </w:rPr>
          <w:t>8</w:t>
        </w:r>
        <w:r w:rsidRPr="0022506D">
          <w:rPr>
            <w:sz w:val="20"/>
            <w:szCs w:val="20"/>
          </w:rPr>
          <w:fldChar w:fldCharType="end"/>
        </w:r>
      </w:p>
    </w:sdtContent>
  </w:sdt>
  <w:p w14:paraId="78EBC0B8" w14:textId="77777777" w:rsidR="003F4594" w:rsidRDefault="003F459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9088B" w14:textId="77777777" w:rsidR="00167673" w:rsidRDefault="00167673" w:rsidP="00E67CA8">
      <w:pPr>
        <w:spacing w:after="0" w:line="240" w:lineRule="auto"/>
      </w:pPr>
      <w:r>
        <w:separator/>
      </w:r>
    </w:p>
  </w:footnote>
  <w:footnote w:type="continuationSeparator" w:id="0">
    <w:p w14:paraId="2D1A65EA" w14:textId="77777777" w:rsidR="00167673" w:rsidRDefault="00167673" w:rsidP="00E67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E1D"/>
    <w:multiLevelType w:val="hybridMultilevel"/>
    <w:tmpl w:val="8FD42062"/>
    <w:lvl w:ilvl="0" w:tplc="5128FDB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03DEC"/>
    <w:multiLevelType w:val="hybridMultilevel"/>
    <w:tmpl w:val="29D8C68A"/>
    <w:lvl w:ilvl="0" w:tplc="25AEF24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A4A55"/>
    <w:multiLevelType w:val="hybridMultilevel"/>
    <w:tmpl w:val="275EB7DE"/>
    <w:lvl w:ilvl="0" w:tplc="E40AE2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93E5C"/>
    <w:multiLevelType w:val="hybridMultilevel"/>
    <w:tmpl w:val="F496CEDE"/>
    <w:lvl w:ilvl="0" w:tplc="5128FDB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24648"/>
    <w:multiLevelType w:val="hybridMultilevel"/>
    <w:tmpl w:val="C2FCBAB4"/>
    <w:lvl w:ilvl="0" w:tplc="5128FDB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A408D"/>
    <w:multiLevelType w:val="hybridMultilevel"/>
    <w:tmpl w:val="58FC4146"/>
    <w:lvl w:ilvl="0" w:tplc="5128FDB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935F1"/>
    <w:multiLevelType w:val="hybridMultilevel"/>
    <w:tmpl w:val="E69A4B82"/>
    <w:lvl w:ilvl="0" w:tplc="5128FDB2">
      <w:start w:val="1"/>
      <w:numFmt w:val="bullet"/>
      <w:lvlText w:val=""/>
      <w:lvlJc w:val="left"/>
      <w:pPr>
        <w:ind w:left="643"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11250"/>
    <w:multiLevelType w:val="hybridMultilevel"/>
    <w:tmpl w:val="A33CD14E"/>
    <w:lvl w:ilvl="0" w:tplc="5128FDB2">
      <w:start w:val="1"/>
      <w:numFmt w:val="bullet"/>
      <w:lvlText w:val=""/>
      <w:lvlJc w:val="left"/>
      <w:pPr>
        <w:ind w:left="720" w:hanging="360"/>
      </w:pPr>
      <w:rPr>
        <w:rFonts w:ascii="Wingdings" w:hAnsi="Wingdings"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61872"/>
    <w:multiLevelType w:val="hybridMultilevel"/>
    <w:tmpl w:val="1D882F48"/>
    <w:lvl w:ilvl="0" w:tplc="5128FDB2">
      <w:start w:val="1"/>
      <w:numFmt w:val="bullet"/>
      <w:lvlText w:val=""/>
      <w:lvlJc w:val="left"/>
      <w:pPr>
        <w:ind w:left="1363" w:hanging="360"/>
      </w:pPr>
      <w:rPr>
        <w:rFonts w:ascii="Wingdings" w:hAnsi="Wingdings" w:hint="default"/>
        <w:color w:val="5B9BD5" w:themeColor="accent1"/>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9" w15:restartNumberingAfterBreak="0">
    <w:nsid w:val="738F75EA"/>
    <w:multiLevelType w:val="hybridMultilevel"/>
    <w:tmpl w:val="551A39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82582"/>
    <w:multiLevelType w:val="hybridMultilevel"/>
    <w:tmpl w:val="2A90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2"/>
  </w:num>
  <w:num w:numId="6">
    <w:abstractNumId w:val="1"/>
  </w:num>
  <w:num w:numId="7">
    <w:abstractNumId w:val="3"/>
  </w:num>
  <w:num w:numId="8">
    <w:abstractNumId w:val="9"/>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B8"/>
    <w:rsid w:val="000001FD"/>
    <w:rsid w:val="0001054C"/>
    <w:rsid w:val="00010C49"/>
    <w:rsid w:val="00014EE8"/>
    <w:rsid w:val="000178EA"/>
    <w:rsid w:val="00020D21"/>
    <w:rsid w:val="00034F79"/>
    <w:rsid w:val="000441EC"/>
    <w:rsid w:val="0004654B"/>
    <w:rsid w:val="000520E7"/>
    <w:rsid w:val="000667EF"/>
    <w:rsid w:val="0008697E"/>
    <w:rsid w:val="00090B8B"/>
    <w:rsid w:val="00091265"/>
    <w:rsid w:val="00094AD5"/>
    <w:rsid w:val="000B5CD8"/>
    <w:rsid w:val="000B657A"/>
    <w:rsid w:val="000B7C5B"/>
    <w:rsid w:val="000D0CD5"/>
    <w:rsid w:val="000D39C1"/>
    <w:rsid w:val="000D5017"/>
    <w:rsid w:val="000E3595"/>
    <w:rsid w:val="00102544"/>
    <w:rsid w:val="001178FC"/>
    <w:rsid w:val="001220E8"/>
    <w:rsid w:val="00126344"/>
    <w:rsid w:val="00142CB6"/>
    <w:rsid w:val="001450F0"/>
    <w:rsid w:val="00154E3F"/>
    <w:rsid w:val="00163F71"/>
    <w:rsid w:val="00167673"/>
    <w:rsid w:val="001949A0"/>
    <w:rsid w:val="00195BF0"/>
    <w:rsid w:val="001A0052"/>
    <w:rsid w:val="001D6165"/>
    <w:rsid w:val="001E3937"/>
    <w:rsid w:val="001E437F"/>
    <w:rsid w:val="001E73CA"/>
    <w:rsid w:val="001F0FFA"/>
    <w:rsid w:val="001F3BD0"/>
    <w:rsid w:val="001F66EB"/>
    <w:rsid w:val="002016FE"/>
    <w:rsid w:val="002058FD"/>
    <w:rsid w:val="00212105"/>
    <w:rsid w:val="00216559"/>
    <w:rsid w:val="0022506D"/>
    <w:rsid w:val="0022615C"/>
    <w:rsid w:val="002316C4"/>
    <w:rsid w:val="00243817"/>
    <w:rsid w:val="00257E45"/>
    <w:rsid w:val="00265336"/>
    <w:rsid w:val="00276BFC"/>
    <w:rsid w:val="00296135"/>
    <w:rsid w:val="002A1D21"/>
    <w:rsid w:val="002A5DD7"/>
    <w:rsid w:val="002B520F"/>
    <w:rsid w:val="002B5B48"/>
    <w:rsid w:val="002C01B5"/>
    <w:rsid w:val="002C0A1A"/>
    <w:rsid w:val="002D5742"/>
    <w:rsid w:val="002E38BE"/>
    <w:rsid w:val="002F3B07"/>
    <w:rsid w:val="002F676C"/>
    <w:rsid w:val="0030285D"/>
    <w:rsid w:val="003151AF"/>
    <w:rsid w:val="00315FF8"/>
    <w:rsid w:val="00317B1C"/>
    <w:rsid w:val="003303F3"/>
    <w:rsid w:val="0033121B"/>
    <w:rsid w:val="0033542E"/>
    <w:rsid w:val="003522B9"/>
    <w:rsid w:val="00367BF3"/>
    <w:rsid w:val="00367C4C"/>
    <w:rsid w:val="00367F57"/>
    <w:rsid w:val="003734DC"/>
    <w:rsid w:val="00375C65"/>
    <w:rsid w:val="0038119B"/>
    <w:rsid w:val="0039161E"/>
    <w:rsid w:val="003A39A6"/>
    <w:rsid w:val="003A3CF4"/>
    <w:rsid w:val="003A45B7"/>
    <w:rsid w:val="003C0A76"/>
    <w:rsid w:val="003E72E8"/>
    <w:rsid w:val="003F4594"/>
    <w:rsid w:val="004049B4"/>
    <w:rsid w:val="00404FE5"/>
    <w:rsid w:val="00410DA8"/>
    <w:rsid w:val="004113F2"/>
    <w:rsid w:val="004123A4"/>
    <w:rsid w:val="0041474C"/>
    <w:rsid w:val="00420E56"/>
    <w:rsid w:val="00430767"/>
    <w:rsid w:val="00442A88"/>
    <w:rsid w:val="004434E0"/>
    <w:rsid w:val="004537DE"/>
    <w:rsid w:val="004565BE"/>
    <w:rsid w:val="00463B85"/>
    <w:rsid w:val="00465F95"/>
    <w:rsid w:val="004727E3"/>
    <w:rsid w:val="0048107D"/>
    <w:rsid w:val="00482A62"/>
    <w:rsid w:val="00491F88"/>
    <w:rsid w:val="004B305D"/>
    <w:rsid w:val="004B4E5F"/>
    <w:rsid w:val="004B74F2"/>
    <w:rsid w:val="004E6CE1"/>
    <w:rsid w:val="00526CF9"/>
    <w:rsid w:val="00534838"/>
    <w:rsid w:val="00535770"/>
    <w:rsid w:val="0053677D"/>
    <w:rsid w:val="005518E8"/>
    <w:rsid w:val="00552272"/>
    <w:rsid w:val="00553163"/>
    <w:rsid w:val="00557572"/>
    <w:rsid w:val="00563AC0"/>
    <w:rsid w:val="005736C8"/>
    <w:rsid w:val="00584A0C"/>
    <w:rsid w:val="005A533D"/>
    <w:rsid w:val="005C1D91"/>
    <w:rsid w:val="005D0585"/>
    <w:rsid w:val="005D183B"/>
    <w:rsid w:val="005E2097"/>
    <w:rsid w:val="005E703E"/>
    <w:rsid w:val="005F230C"/>
    <w:rsid w:val="0060279D"/>
    <w:rsid w:val="00612D6F"/>
    <w:rsid w:val="006167CA"/>
    <w:rsid w:val="00616B73"/>
    <w:rsid w:val="00617920"/>
    <w:rsid w:val="0063480F"/>
    <w:rsid w:val="006432C1"/>
    <w:rsid w:val="00646370"/>
    <w:rsid w:val="00675069"/>
    <w:rsid w:val="006904D7"/>
    <w:rsid w:val="006918A1"/>
    <w:rsid w:val="006921E5"/>
    <w:rsid w:val="00696F99"/>
    <w:rsid w:val="006A3089"/>
    <w:rsid w:val="006A3122"/>
    <w:rsid w:val="006C48C2"/>
    <w:rsid w:val="006D31B3"/>
    <w:rsid w:val="006D605F"/>
    <w:rsid w:val="006E1E91"/>
    <w:rsid w:val="006E1E93"/>
    <w:rsid w:val="006E799D"/>
    <w:rsid w:val="006F0776"/>
    <w:rsid w:val="006F6340"/>
    <w:rsid w:val="007075E8"/>
    <w:rsid w:val="007077B0"/>
    <w:rsid w:val="007131F9"/>
    <w:rsid w:val="007149DD"/>
    <w:rsid w:val="00724C98"/>
    <w:rsid w:val="00742745"/>
    <w:rsid w:val="00766E13"/>
    <w:rsid w:val="00771179"/>
    <w:rsid w:val="0077455F"/>
    <w:rsid w:val="00775B1A"/>
    <w:rsid w:val="007864BA"/>
    <w:rsid w:val="007A3CE5"/>
    <w:rsid w:val="007A7353"/>
    <w:rsid w:val="007B46E7"/>
    <w:rsid w:val="007B4925"/>
    <w:rsid w:val="007D0285"/>
    <w:rsid w:val="007D3E41"/>
    <w:rsid w:val="007E0EE9"/>
    <w:rsid w:val="007F066E"/>
    <w:rsid w:val="007F59D3"/>
    <w:rsid w:val="007F789A"/>
    <w:rsid w:val="0080609C"/>
    <w:rsid w:val="0080628A"/>
    <w:rsid w:val="00811EFD"/>
    <w:rsid w:val="008255AD"/>
    <w:rsid w:val="00834715"/>
    <w:rsid w:val="00841908"/>
    <w:rsid w:val="008616FC"/>
    <w:rsid w:val="008677BE"/>
    <w:rsid w:val="00875ECD"/>
    <w:rsid w:val="00877980"/>
    <w:rsid w:val="00885729"/>
    <w:rsid w:val="00886B2B"/>
    <w:rsid w:val="00892C9D"/>
    <w:rsid w:val="008A2E3D"/>
    <w:rsid w:val="008B150E"/>
    <w:rsid w:val="008B216C"/>
    <w:rsid w:val="008B761A"/>
    <w:rsid w:val="008D14A2"/>
    <w:rsid w:val="008D28B1"/>
    <w:rsid w:val="008D3ED9"/>
    <w:rsid w:val="008E2FD1"/>
    <w:rsid w:val="008E5F6C"/>
    <w:rsid w:val="00903EF2"/>
    <w:rsid w:val="00907AD7"/>
    <w:rsid w:val="009136B6"/>
    <w:rsid w:val="009141E6"/>
    <w:rsid w:val="009161AD"/>
    <w:rsid w:val="00925744"/>
    <w:rsid w:val="00930630"/>
    <w:rsid w:val="00930CEE"/>
    <w:rsid w:val="00934CC9"/>
    <w:rsid w:val="00943F82"/>
    <w:rsid w:val="00945ED1"/>
    <w:rsid w:val="0095620B"/>
    <w:rsid w:val="00966C91"/>
    <w:rsid w:val="00980C58"/>
    <w:rsid w:val="009841C2"/>
    <w:rsid w:val="00997158"/>
    <w:rsid w:val="009A053D"/>
    <w:rsid w:val="009A67FC"/>
    <w:rsid w:val="009C5246"/>
    <w:rsid w:val="009D27BA"/>
    <w:rsid w:val="009E1B1D"/>
    <w:rsid w:val="009F6498"/>
    <w:rsid w:val="00A26B26"/>
    <w:rsid w:val="00A37015"/>
    <w:rsid w:val="00A601B6"/>
    <w:rsid w:val="00A62A87"/>
    <w:rsid w:val="00A65C67"/>
    <w:rsid w:val="00A72D16"/>
    <w:rsid w:val="00A77003"/>
    <w:rsid w:val="00A80C73"/>
    <w:rsid w:val="00A867D5"/>
    <w:rsid w:val="00A91815"/>
    <w:rsid w:val="00A93CE6"/>
    <w:rsid w:val="00A9646F"/>
    <w:rsid w:val="00AA4531"/>
    <w:rsid w:val="00AB0024"/>
    <w:rsid w:val="00AB0E59"/>
    <w:rsid w:val="00AB5D83"/>
    <w:rsid w:val="00AC79ED"/>
    <w:rsid w:val="00AD018C"/>
    <w:rsid w:val="00AD3D2D"/>
    <w:rsid w:val="00AF5FA1"/>
    <w:rsid w:val="00B061EC"/>
    <w:rsid w:val="00B114EC"/>
    <w:rsid w:val="00B13BC8"/>
    <w:rsid w:val="00B20D65"/>
    <w:rsid w:val="00B33CF5"/>
    <w:rsid w:val="00B33DDF"/>
    <w:rsid w:val="00B352AF"/>
    <w:rsid w:val="00B37085"/>
    <w:rsid w:val="00B514B6"/>
    <w:rsid w:val="00B61D73"/>
    <w:rsid w:val="00B701B8"/>
    <w:rsid w:val="00B74227"/>
    <w:rsid w:val="00B81A59"/>
    <w:rsid w:val="00B832D4"/>
    <w:rsid w:val="00B916CE"/>
    <w:rsid w:val="00B9282A"/>
    <w:rsid w:val="00BA3039"/>
    <w:rsid w:val="00BC6F23"/>
    <w:rsid w:val="00BE43F2"/>
    <w:rsid w:val="00BE50A1"/>
    <w:rsid w:val="00BE74E8"/>
    <w:rsid w:val="00BF60C9"/>
    <w:rsid w:val="00BF6BA3"/>
    <w:rsid w:val="00C00A4C"/>
    <w:rsid w:val="00C07679"/>
    <w:rsid w:val="00C13FE7"/>
    <w:rsid w:val="00C23C85"/>
    <w:rsid w:val="00C56F39"/>
    <w:rsid w:val="00C73536"/>
    <w:rsid w:val="00C74C01"/>
    <w:rsid w:val="00C96829"/>
    <w:rsid w:val="00CA7F00"/>
    <w:rsid w:val="00CB5F30"/>
    <w:rsid w:val="00CB5FB0"/>
    <w:rsid w:val="00CC1FE9"/>
    <w:rsid w:val="00CC4279"/>
    <w:rsid w:val="00CE7C67"/>
    <w:rsid w:val="00CF2E3F"/>
    <w:rsid w:val="00CF34BC"/>
    <w:rsid w:val="00CF7EFF"/>
    <w:rsid w:val="00D03497"/>
    <w:rsid w:val="00D1756E"/>
    <w:rsid w:val="00D2392F"/>
    <w:rsid w:val="00D27CA5"/>
    <w:rsid w:val="00D37FA2"/>
    <w:rsid w:val="00D4755D"/>
    <w:rsid w:val="00D51EB3"/>
    <w:rsid w:val="00D814C1"/>
    <w:rsid w:val="00D81E3B"/>
    <w:rsid w:val="00D867AE"/>
    <w:rsid w:val="00D871C5"/>
    <w:rsid w:val="00DA5084"/>
    <w:rsid w:val="00DA6811"/>
    <w:rsid w:val="00DB178D"/>
    <w:rsid w:val="00DB6651"/>
    <w:rsid w:val="00DB736E"/>
    <w:rsid w:val="00DC5126"/>
    <w:rsid w:val="00E06178"/>
    <w:rsid w:val="00E17F16"/>
    <w:rsid w:val="00E21D9A"/>
    <w:rsid w:val="00E224F7"/>
    <w:rsid w:val="00E31A1B"/>
    <w:rsid w:val="00E37FDE"/>
    <w:rsid w:val="00E42A63"/>
    <w:rsid w:val="00E4462D"/>
    <w:rsid w:val="00E473E0"/>
    <w:rsid w:val="00E55014"/>
    <w:rsid w:val="00E67CA8"/>
    <w:rsid w:val="00E761B4"/>
    <w:rsid w:val="00E7706D"/>
    <w:rsid w:val="00E81E8A"/>
    <w:rsid w:val="00E8637D"/>
    <w:rsid w:val="00E93B9C"/>
    <w:rsid w:val="00E94B08"/>
    <w:rsid w:val="00E96379"/>
    <w:rsid w:val="00EB14A2"/>
    <w:rsid w:val="00EE3D5F"/>
    <w:rsid w:val="00EE62ED"/>
    <w:rsid w:val="00EE7022"/>
    <w:rsid w:val="00EF3CAB"/>
    <w:rsid w:val="00F24C72"/>
    <w:rsid w:val="00F24E61"/>
    <w:rsid w:val="00F25B28"/>
    <w:rsid w:val="00F32FE6"/>
    <w:rsid w:val="00F34042"/>
    <w:rsid w:val="00F361C0"/>
    <w:rsid w:val="00F37B2E"/>
    <w:rsid w:val="00F407F0"/>
    <w:rsid w:val="00F413EE"/>
    <w:rsid w:val="00F50C8B"/>
    <w:rsid w:val="00F54821"/>
    <w:rsid w:val="00F560B2"/>
    <w:rsid w:val="00F57054"/>
    <w:rsid w:val="00F64342"/>
    <w:rsid w:val="00F66D96"/>
    <w:rsid w:val="00F949ED"/>
    <w:rsid w:val="00FA00E1"/>
    <w:rsid w:val="00FC71E7"/>
    <w:rsid w:val="00FD4DCB"/>
    <w:rsid w:val="00FE295F"/>
    <w:rsid w:val="00FE3B1C"/>
    <w:rsid w:val="00FE4FB2"/>
    <w:rsid w:val="00FF25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17E6"/>
  <w15:docId w15:val="{CAD75D57-87CC-4F06-B8D7-2C08EFE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1B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1B8"/>
    <w:pPr>
      <w:ind w:left="720"/>
      <w:contextualSpacing/>
    </w:pPr>
  </w:style>
  <w:style w:type="table" w:styleId="a4">
    <w:name w:val="Table Grid"/>
    <w:basedOn w:val="a1"/>
    <w:uiPriority w:val="39"/>
    <w:rsid w:val="0069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E21D9A"/>
    <w:rPr>
      <w:sz w:val="16"/>
      <w:szCs w:val="16"/>
    </w:rPr>
  </w:style>
  <w:style w:type="paragraph" w:styleId="a6">
    <w:name w:val="annotation text"/>
    <w:basedOn w:val="a"/>
    <w:link w:val="a7"/>
    <w:uiPriority w:val="99"/>
    <w:unhideWhenUsed/>
    <w:rsid w:val="00E21D9A"/>
    <w:pPr>
      <w:spacing w:line="240" w:lineRule="auto"/>
    </w:pPr>
    <w:rPr>
      <w:sz w:val="20"/>
      <w:szCs w:val="20"/>
    </w:rPr>
  </w:style>
  <w:style w:type="character" w:customStyle="1" w:styleId="a7">
    <w:name w:val="טקסט הערה תו"/>
    <w:basedOn w:val="a0"/>
    <w:link w:val="a6"/>
    <w:uiPriority w:val="99"/>
    <w:rsid w:val="00E21D9A"/>
    <w:rPr>
      <w:sz w:val="20"/>
      <w:szCs w:val="20"/>
    </w:rPr>
  </w:style>
  <w:style w:type="paragraph" w:styleId="a8">
    <w:name w:val="annotation subject"/>
    <w:basedOn w:val="a6"/>
    <w:next w:val="a6"/>
    <w:link w:val="a9"/>
    <w:uiPriority w:val="99"/>
    <w:semiHidden/>
    <w:unhideWhenUsed/>
    <w:rsid w:val="00E21D9A"/>
    <w:rPr>
      <w:b/>
      <w:bCs/>
    </w:rPr>
  </w:style>
  <w:style w:type="character" w:customStyle="1" w:styleId="a9">
    <w:name w:val="נושא הערה תו"/>
    <w:basedOn w:val="a7"/>
    <w:link w:val="a8"/>
    <w:uiPriority w:val="99"/>
    <w:semiHidden/>
    <w:rsid w:val="00E21D9A"/>
    <w:rPr>
      <w:b/>
      <w:bCs/>
      <w:sz w:val="20"/>
      <w:szCs w:val="20"/>
    </w:rPr>
  </w:style>
  <w:style w:type="paragraph" w:styleId="aa">
    <w:name w:val="Balloon Text"/>
    <w:basedOn w:val="a"/>
    <w:link w:val="ab"/>
    <w:uiPriority w:val="99"/>
    <w:semiHidden/>
    <w:unhideWhenUsed/>
    <w:rsid w:val="00E21D9A"/>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E21D9A"/>
    <w:rPr>
      <w:rFonts w:ascii="Tahoma" w:hAnsi="Tahoma" w:cs="Tahoma"/>
      <w:sz w:val="18"/>
      <w:szCs w:val="18"/>
    </w:rPr>
  </w:style>
  <w:style w:type="paragraph" w:styleId="ac">
    <w:name w:val="header"/>
    <w:basedOn w:val="a"/>
    <w:link w:val="ad"/>
    <w:uiPriority w:val="99"/>
    <w:unhideWhenUsed/>
    <w:rsid w:val="00E67CA8"/>
    <w:pPr>
      <w:tabs>
        <w:tab w:val="center" w:pos="4153"/>
        <w:tab w:val="right" w:pos="8306"/>
      </w:tabs>
      <w:spacing w:after="0" w:line="240" w:lineRule="auto"/>
    </w:pPr>
  </w:style>
  <w:style w:type="character" w:customStyle="1" w:styleId="ad">
    <w:name w:val="כותרת עליונה תו"/>
    <w:basedOn w:val="a0"/>
    <w:link w:val="ac"/>
    <w:uiPriority w:val="99"/>
    <w:rsid w:val="00E67CA8"/>
  </w:style>
  <w:style w:type="paragraph" w:styleId="ae">
    <w:name w:val="footer"/>
    <w:basedOn w:val="a"/>
    <w:link w:val="af"/>
    <w:uiPriority w:val="99"/>
    <w:unhideWhenUsed/>
    <w:rsid w:val="00E67CA8"/>
    <w:pPr>
      <w:tabs>
        <w:tab w:val="center" w:pos="4153"/>
        <w:tab w:val="right" w:pos="8306"/>
      </w:tabs>
      <w:spacing w:after="0" w:line="240" w:lineRule="auto"/>
    </w:pPr>
  </w:style>
  <w:style w:type="character" w:customStyle="1" w:styleId="af">
    <w:name w:val="כותרת תחתונה תו"/>
    <w:basedOn w:val="a0"/>
    <w:link w:val="ae"/>
    <w:uiPriority w:val="99"/>
    <w:rsid w:val="00E67CA8"/>
  </w:style>
  <w:style w:type="character" w:styleId="Hyperlink">
    <w:name w:val="Hyperlink"/>
    <w:basedOn w:val="a0"/>
    <w:uiPriority w:val="99"/>
    <w:unhideWhenUsed/>
    <w:rsid w:val="00BF6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371">
      <w:bodyDiv w:val="1"/>
      <w:marLeft w:val="0"/>
      <w:marRight w:val="0"/>
      <w:marTop w:val="0"/>
      <w:marBottom w:val="0"/>
      <w:divBdr>
        <w:top w:val="none" w:sz="0" w:space="0" w:color="auto"/>
        <w:left w:val="none" w:sz="0" w:space="0" w:color="auto"/>
        <w:bottom w:val="none" w:sz="0" w:space="0" w:color="auto"/>
        <w:right w:val="none" w:sz="0" w:space="0" w:color="auto"/>
      </w:divBdr>
    </w:div>
    <w:div w:id="41907657">
      <w:bodyDiv w:val="1"/>
      <w:marLeft w:val="0"/>
      <w:marRight w:val="0"/>
      <w:marTop w:val="0"/>
      <w:marBottom w:val="0"/>
      <w:divBdr>
        <w:top w:val="none" w:sz="0" w:space="0" w:color="auto"/>
        <w:left w:val="none" w:sz="0" w:space="0" w:color="auto"/>
        <w:bottom w:val="none" w:sz="0" w:space="0" w:color="auto"/>
        <w:right w:val="none" w:sz="0" w:space="0" w:color="auto"/>
      </w:divBdr>
    </w:div>
    <w:div w:id="123885892">
      <w:bodyDiv w:val="1"/>
      <w:marLeft w:val="0"/>
      <w:marRight w:val="0"/>
      <w:marTop w:val="0"/>
      <w:marBottom w:val="0"/>
      <w:divBdr>
        <w:top w:val="none" w:sz="0" w:space="0" w:color="auto"/>
        <w:left w:val="none" w:sz="0" w:space="0" w:color="auto"/>
        <w:bottom w:val="none" w:sz="0" w:space="0" w:color="auto"/>
        <w:right w:val="none" w:sz="0" w:space="0" w:color="auto"/>
      </w:divBdr>
    </w:div>
    <w:div w:id="470901867">
      <w:bodyDiv w:val="1"/>
      <w:marLeft w:val="0"/>
      <w:marRight w:val="0"/>
      <w:marTop w:val="0"/>
      <w:marBottom w:val="0"/>
      <w:divBdr>
        <w:top w:val="none" w:sz="0" w:space="0" w:color="auto"/>
        <w:left w:val="none" w:sz="0" w:space="0" w:color="auto"/>
        <w:bottom w:val="none" w:sz="0" w:space="0" w:color="auto"/>
        <w:right w:val="none" w:sz="0" w:space="0" w:color="auto"/>
      </w:divBdr>
    </w:div>
    <w:div w:id="615061381">
      <w:bodyDiv w:val="1"/>
      <w:marLeft w:val="0"/>
      <w:marRight w:val="0"/>
      <w:marTop w:val="0"/>
      <w:marBottom w:val="0"/>
      <w:divBdr>
        <w:top w:val="none" w:sz="0" w:space="0" w:color="auto"/>
        <w:left w:val="none" w:sz="0" w:space="0" w:color="auto"/>
        <w:bottom w:val="none" w:sz="0" w:space="0" w:color="auto"/>
        <w:right w:val="none" w:sz="0" w:space="0" w:color="auto"/>
      </w:divBdr>
    </w:div>
    <w:div w:id="620527328">
      <w:bodyDiv w:val="1"/>
      <w:marLeft w:val="0"/>
      <w:marRight w:val="0"/>
      <w:marTop w:val="0"/>
      <w:marBottom w:val="0"/>
      <w:divBdr>
        <w:top w:val="none" w:sz="0" w:space="0" w:color="auto"/>
        <w:left w:val="none" w:sz="0" w:space="0" w:color="auto"/>
        <w:bottom w:val="none" w:sz="0" w:space="0" w:color="auto"/>
        <w:right w:val="none" w:sz="0" w:space="0" w:color="auto"/>
      </w:divBdr>
    </w:div>
    <w:div w:id="634406690">
      <w:bodyDiv w:val="1"/>
      <w:marLeft w:val="0"/>
      <w:marRight w:val="0"/>
      <w:marTop w:val="0"/>
      <w:marBottom w:val="0"/>
      <w:divBdr>
        <w:top w:val="none" w:sz="0" w:space="0" w:color="auto"/>
        <w:left w:val="none" w:sz="0" w:space="0" w:color="auto"/>
        <w:bottom w:val="none" w:sz="0" w:space="0" w:color="auto"/>
        <w:right w:val="none" w:sz="0" w:space="0" w:color="auto"/>
      </w:divBdr>
    </w:div>
    <w:div w:id="701899066">
      <w:bodyDiv w:val="1"/>
      <w:marLeft w:val="0"/>
      <w:marRight w:val="0"/>
      <w:marTop w:val="0"/>
      <w:marBottom w:val="0"/>
      <w:divBdr>
        <w:top w:val="none" w:sz="0" w:space="0" w:color="auto"/>
        <w:left w:val="none" w:sz="0" w:space="0" w:color="auto"/>
        <w:bottom w:val="none" w:sz="0" w:space="0" w:color="auto"/>
        <w:right w:val="none" w:sz="0" w:space="0" w:color="auto"/>
      </w:divBdr>
    </w:div>
    <w:div w:id="941231816">
      <w:bodyDiv w:val="1"/>
      <w:marLeft w:val="0"/>
      <w:marRight w:val="0"/>
      <w:marTop w:val="0"/>
      <w:marBottom w:val="0"/>
      <w:divBdr>
        <w:top w:val="none" w:sz="0" w:space="0" w:color="auto"/>
        <w:left w:val="none" w:sz="0" w:space="0" w:color="auto"/>
        <w:bottom w:val="none" w:sz="0" w:space="0" w:color="auto"/>
        <w:right w:val="none" w:sz="0" w:space="0" w:color="auto"/>
      </w:divBdr>
    </w:div>
    <w:div w:id="1364672735">
      <w:bodyDiv w:val="1"/>
      <w:marLeft w:val="0"/>
      <w:marRight w:val="0"/>
      <w:marTop w:val="0"/>
      <w:marBottom w:val="0"/>
      <w:divBdr>
        <w:top w:val="none" w:sz="0" w:space="0" w:color="auto"/>
        <w:left w:val="none" w:sz="0" w:space="0" w:color="auto"/>
        <w:bottom w:val="none" w:sz="0" w:space="0" w:color="auto"/>
        <w:right w:val="none" w:sz="0" w:space="0" w:color="auto"/>
      </w:divBdr>
    </w:div>
    <w:div w:id="1514370311">
      <w:bodyDiv w:val="1"/>
      <w:marLeft w:val="0"/>
      <w:marRight w:val="0"/>
      <w:marTop w:val="0"/>
      <w:marBottom w:val="0"/>
      <w:divBdr>
        <w:top w:val="none" w:sz="0" w:space="0" w:color="auto"/>
        <w:left w:val="none" w:sz="0" w:space="0" w:color="auto"/>
        <w:bottom w:val="none" w:sz="0" w:space="0" w:color="auto"/>
        <w:right w:val="none" w:sz="0" w:space="0" w:color="auto"/>
      </w:divBdr>
    </w:div>
    <w:div w:id="1581714555">
      <w:bodyDiv w:val="1"/>
      <w:marLeft w:val="0"/>
      <w:marRight w:val="0"/>
      <w:marTop w:val="0"/>
      <w:marBottom w:val="0"/>
      <w:divBdr>
        <w:top w:val="none" w:sz="0" w:space="0" w:color="auto"/>
        <w:left w:val="none" w:sz="0" w:space="0" w:color="auto"/>
        <w:bottom w:val="none" w:sz="0" w:space="0" w:color="auto"/>
        <w:right w:val="none" w:sz="0" w:space="0" w:color="auto"/>
      </w:divBdr>
    </w:div>
    <w:div w:id="20496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s://dataisrael.idi.org.il/"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074462768615693E-2"/>
          <c:y val="4.8087431693989074E-2"/>
          <c:w val="0.94892553723138429"/>
          <c:h val="0.75090021943978313"/>
        </c:manualLayout>
      </c:layout>
      <c:lineChart>
        <c:grouping val="standard"/>
        <c:varyColors val="0"/>
        <c:ser>
          <c:idx val="0"/>
          <c:order val="0"/>
          <c:tx>
            <c:strRef>
              <c:f>גיליון1!$A$2</c:f>
              <c:strCache>
                <c:ptCount val="1"/>
                <c:pt idx="0">
                  <c:v>אופטימיים לגבי עתיד השלטון הדמוקרטי</c:v>
                </c:pt>
              </c:strCache>
            </c:strRef>
          </c:tx>
          <c:dLbls>
            <c:spPr>
              <a:noFill/>
              <a:ln>
                <a:noFill/>
              </a:ln>
              <a:effectLst/>
            </c:spPr>
            <c:txPr>
              <a:bodyPr rot="0" vert="horz"/>
              <a:lstStyle/>
              <a:p>
                <a:pPr>
                  <a:defRPr b="1">
                    <a:latin typeface="David" panose="020E0502060401010101" pitchFamily="34" charset="-79"/>
                    <a:cs typeface="+mn-cs"/>
                  </a:defRPr>
                </a:pPr>
                <a:endParaRPr lang="he-I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גיליון1!$B$1:$R$1</c:f>
              <c:strCache>
                <c:ptCount val="17"/>
                <c:pt idx="0">
                  <c:v>אפר-19</c:v>
                </c:pt>
                <c:pt idx="1">
                  <c:v>מאי-19</c:v>
                </c:pt>
                <c:pt idx="2">
                  <c:v>יונ-19</c:v>
                </c:pt>
                <c:pt idx="3">
                  <c:v>יול-19</c:v>
                </c:pt>
                <c:pt idx="4">
                  <c:v>אוג-19</c:v>
                </c:pt>
                <c:pt idx="5">
                  <c:v>ספט-19</c:v>
                </c:pt>
                <c:pt idx="6">
                  <c:v>אוק-19</c:v>
                </c:pt>
                <c:pt idx="7">
                  <c:v>נוב-19</c:v>
                </c:pt>
                <c:pt idx="8">
                  <c:v>דצמ-19</c:v>
                </c:pt>
                <c:pt idx="9">
                  <c:v>ינו-20</c:v>
                </c:pt>
                <c:pt idx="10">
                  <c:v>פבר-20</c:v>
                </c:pt>
                <c:pt idx="11">
                  <c:v>מרץ-20</c:v>
                </c:pt>
                <c:pt idx="12">
                  <c:v>אפר-20</c:v>
                </c:pt>
                <c:pt idx="13">
                  <c:v>מאי-20</c:v>
                </c:pt>
                <c:pt idx="14">
                  <c:v>יונ-20</c:v>
                </c:pt>
                <c:pt idx="15">
                  <c:v>יול-20</c:v>
                </c:pt>
                <c:pt idx="16">
                  <c:v>אוג-20</c:v>
                </c:pt>
              </c:strCache>
            </c:strRef>
          </c:cat>
          <c:val>
            <c:numRef>
              <c:f>גיליון1!$B$2:$R$2</c:f>
              <c:numCache>
                <c:formatCode>General</c:formatCode>
                <c:ptCount val="17"/>
                <c:pt idx="0">
                  <c:v>54</c:v>
                </c:pt>
                <c:pt idx="1">
                  <c:v>49.5</c:v>
                </c:pt>
                <c:pt idx="2">
                  <c:v>47</c:v>
                </c:pt>
                <c:pt idx="3">
                  <c:v>47</c:v>
                </c:pt>
                <c:pt idx="4">
                  <c:v>43</c:v>
                </c:pt>
                <c:pt idx="5">
                  <c:v>47</c:v>
                </c:pt>
                <c:pt idx="6">
                  <c:v>43</c:v>
                </c:pt>
                <c:pt idx="7">
                  <c:v>32</c:v>
                </c:pt>
                <c:pt idx="8">
                  <c:v>40</c:v>
                </c:pt>
                <c:pt idx="9">
                  <c:v>41.5</c:v>
                </c:pt>
                <c:pt idx="10">
                  <c:v>43</c:v>
                </c:pt>
                <c:pt idx="11">
                  <c:v>34</c:v>
                </c:pt>
                <c:pt idx="12">
                  <c:v>45.5</c:v>
                </c:pt>
                <c:pt idx="13">
                  <c:v>43.5</c:v>
                </c:pt>
                <c:pt idx="14">
                  <c:v>39</c:v>
                </c:pt>
                <c:pt idx="15">
                  <c:v>38</c:v>
                </c:pt>
                <c:pt idx="16">
                  <c:v>39</c:v>
                </c:pt>
              </c:numCache>
            </c:numRef>
          </c:val>
          <c:smooth val="0"/>
          <c:extLst>
            <c:ext xmlns:c16="http://schemas.microsoft.com/office/drawing/2014/chart" uri="{C3380CC4-5D6E-409C-BE32-E72D297353CC}">
              <c16:uniqueId val="{00000000-677C-48A0-A6F0-1C07C3F922B2}"/>
            </c:ext>
          </c:extLst>
        </c:ser>
        <c:ser>
          <c:idx val="1"/>
          <c:order val="1"/>
          <c:tx>
            <c:strRef>
              <c:f>גיליון1!$A$3</c:f>
              <c:strCache>
                <c:ptCount val="1"/>
                <c:pt idx="0">
                  <c:v>אופטימיים לגבי עתיד הביטחון</c:v>
                </c:pt>
              </c:strCache>
            </c:strRef>
          </c:tx>
          <c:spPr>
            <a:ln>
              <a:solidFill>
                <a:srgbClr val="9BBB59">
                  <a:lumMod val="75000"/>
                </a:srgbClr>
              </a:solidFill>
            </a:ln>
          </c:spPr>
          <c:marker>
            <c:spPr>
              <a:solidFill>
                <a:srgbClr val="9BBB59">
                  <a:lumMod val="75000"/>
                </a:srgbClr>
              </a:solidFill>
              <a:ln>
                <a:solidFill>
                  <a:srgbClr val="9BBB59">
                    <a:lumMod val="75000"/>
                  </a:srgbClr>
                </a:solidFill>
              </a:ln>
            </c:spPr>
          </c:marker>
          <c:dLbls>
            <c:spPr>
              <a:noFill/>
              <a:ln>
                <a:noFill/>
              </a:ln>
              <a:effectLst/>
            </c:spPr>
            <c:txPr>
              <a:bodyPr rot="0" vert="horz"/>
              <a:lstStyle/>
              <a:p>
                <a:pPr>
                  <a:defRPr b="1">
                    <a:latin typeface="David" panose="020E0502060401010101" pitchFamily="34" charset="-79"/>
                    <a:cs typeface="+mn-cs"/>
                  </a:defRPr>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גיליון1!$B$1:$R$1</c:f>
              <c:strCache>
                <c:ptCount val="17"/>
                <c:pt idx="0">
                  <c:v>אפר-19</c:v>
                </c:pt>
                <c:pt idx="1">
                  <c:v>מאי-19</c:v>
                </c:pt>
                <c:pt idx="2">
                  <c:v>יונ-19</c:v>
                </c:pt>
                <c:pt idx="3">
                  <c:v>יול-19</c:v>
                </c:pt>
                <c:pt idx="4">
                  <c:v>אוג-19</c:v>
                </c:pt>
                <c:pt idx="5">
                  <c:v>ספט-19</c:v>
                </c:pt>
                <c:pt idx="6">
                  <c:v>אוק-19</c:v>
                </c:pt>
                <c:pt idx="7">
                  <c:v>נוב-19</c:v>
                </c:pt>
                <c:pt idx="8">
                  <c:v>דצמ-19</c:v>
                </c:pt>
                <c:pt idx="9">
                  <c:v>ינו-20</c:v>
                </c:pt>
                <c:pt idx="10">
                  <c:v>פבר-20</c:v>
                </c:pt>
                <c:pt idx="11">
                  <c:v>מרץ-20</c:v>
                </c:pt>
                <c:pt idx="12">
                  <c:v>אפר-20</c:v>
                </c:pt>
                <c:pt idx="13">
                  <c:v>מאי-20</c:v>
                </c:pt>
                <c:pt idx="14">
                  <c:v>יונ-20</c:v>
                </c:pt>
                <c:pt idx="15">
                  <c:v>יול-20</c:v>
                </c:pt>
                <c:pt idx="16">
                  <c:v>אוג-20</c:v>
                </c:pt>
              </c:strCache>
            </c:strRef>
          </c:cat>
          <c:val>
            <c:numRef>
              <c:f>גיליון1!$B$3:$R$3</c:f>
              <c:numCache>
                <c:formatCode>General</c:formatCode>
                <c:ptCount val="17"/>
                <c:pt idx="0">
                  <c:v>59</c:v>
                </c:pt>
                <c:pt idx="1">
                  <c:v>51</c:v>
                </c:pt>
                <c:pt idx="2">
                  <c:v>50</c:v>
                </c:pt>
                <c:pt idx="3">
                  <c:v>52</c:v>
                </c:pt>
                <c:pt idx="4">
                  <c:v>48</c:v>
                </c:pt>
                <c:pt idx="5">
                  <c:v>53</c:v>
                </c:pt>
                <c:pt idx="6">
                  <c:v>54.5</c:v>
                </c:pt>
                <c:pt idx="7">
                  <c:v>49</c:v>
                </c:pt>
                <c:pt idx="8">
                  <c:v>50</c:v>
                </c:pt>
                <c:pt idx="9">
                  <c:v>58</c:v>
                </c:pt>
                <c:pt idx="10">
                  <c:v>52</c:v>
                </c:pt>
                <c:pt idx="11">
                  <c:v>56</c:v>
                </c:pt>
                <c:pt idx="12">
                  <c:v>70</c:v>
                </c:pt>
                <c:pt idx="13">
                  <c:v>62</c:v>
                </c:pt>
                <c:pt idx="14">
                  <c:v>55</c:v>
                </c:pt>
                <c:pt idx="15">
                  <c:v>59</c:v>
                </c:pt>
                <c:pt idx="16">
                  <c:v>58</c:v>
                </c:pt>
              </c:numCache>
            </c:numRef>
          </c:val>
          <c:smooth val="0"/>
          <c:extLst>
            <c:ext xmlns:c16="http://schemas.microsoft.com/office/drawing/2014/chart" uri="{C3380CC4-5D6E-409C-BE32-E72D297353CC}">
              <c16:uniqueId val="{00000001-677C-48A0-A6F0-1C07C3F922B2}"/>
            </c:ext>
          </c:extLst>
        </c:ser>
        <c:dLbls>
          <c:showLegendKey val="0"/>
          <c:showVal val="1"/>
          <c:showCatName val="0"/>
          <c:showSerName val="0"/>
          <c:showPercent val="0"/>
          <c:showBubbleSize val="0"/>
        </c:dLbls>
        <c:marker val="1"/>
        <c:smooth val="0"/>
        <c:axId val="249312384"/>
        <c:axId val="249313920"/>
      </c:lineChart>
      <c:catAx>
        <c:axId val="24931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latin typeface="David" panose="020E0502060401010101" pitchFamily="34" charset="-79"/>
                <a:cs typeface="David" panose="020E0502060401010101" pitchFamily="34" charset="-79"/>
              </a:defRPr>
            </a:pPr>
            <a:endParaRPr lang="he-IL"/>
          </a:p>
        </c:txPr>
        <c:crossAx val="249313920"/>
        <c:crosses val="autoZero"/>
        <c:auto val="1"/>
        <c:lblAlgn val="ctr"/>
        <c:lblOffset val="100"/>
        <c:noMultiLvlLbl val="0"/>
      </c:catAx>
      <c:valAx>
        <c:axId val="24931392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sz="1000">
                <a:latin typeface="David" panose="020E0502060401010101" pitchFamily="34" charset="-79"/>
                <a:cs typeface="+mn-cs"/>
              </a:defRPr>
            </a:pPr>
            <a:endParaRPr lang="he-IL"/>
          </a:p>
        </c:txPr>
        <c:crossAx val="249312384"/>
        <c:crosses val="autoZero"/>
        <c:crossBetween val="between"/>
        <c:majorUnit val="20"/>
      </c:valAx>
      <c:spPr>
        <a:noFill/>
        <a:ln>
          <a:noFill/>
        </a:ln>
        <a:effectLst/>
      </c:spPr>
    </c:plotArea>
    <c:legend>
      <c:legendPos val="b"/>
      <c:legendEntry>
        <c:idx val="0"/>
        <c:txPr>
          <a:bodyPr rot="0" vert="horz"/>
          <a:lstStyle/>
          <a:p>
            <a:pPr>
              <a:defRPr>
                <a:latin typeface="David" panose="020E0502060401010101" pitchFamily="34" charset="-79"/>
                <a:cs typeface="+mn-cs"/>
              </a:defRPr>
            </a:pPr>
            <a:endParaRPr lang="he-IL"/>
          </a:p>
        </c:txPr>
      </c:legendEntry>
      <c:legendEntry>
        <c:idx val="1"/>
        <c:txPr>
          <a:bodyPr rot="0" vert="horz"/>
          <a:lstStyle/>
          <a:p>
            <a:pPr>
              <a:defRPr>
                <a:latin typeface="David" panose="020E0502060401010101" pitchFamily="34" charset="-79"/>
                <a:cs typeface="David" panose="020E0502060401010101" pitchFamily="34" charset="-79"/>
              </a:defRPr>
            </a:pPr>
            <a:endParaRPr lang="he-IL"/>
          </a:p>
        </c:txPr>
      </c:legendEntry>
      <c:layout>
        <c:manualLayout>
          <c:xMode val="edge"/>
          <c:yMode val="edge"/>
          <c:x val="0.12291460568928135"/>
          <c:y val="0.89869804735946468"/>
          <c:w val="0.75417078862143727"/>
          <c:h val="8.6649937988520664E-2"/>
        </c:manualLayout>
      </c:layout>
      <c:overlay val="0"/>
      <c:spPr>
        <a:solidFill>
          <a:sysClr val="window" lastClr="FFFFFF"/>
        </a:solidFill>
        <a:ln w="12700" cap="flat" cmpd="sng" algn="ctr">
          <a:solidFill>
            <a:sysClr val="windowText" lastClr="000000"/>
          </a:solidFill>
          <a:prstDash val="solid"/>
          <a:miter lim="800000"/>
        </a:ln>
        <a:effectLst/>
      </c:spPr>
      <c:txPr>
        <a:bodyPr rot="0" vert="horz"/>
        <a:lstStyle/>
        <a:p>
          <a:pPr>
            <a:defRPr>
              <a:latin typeface="David" panose="020E0502060401010101" pitchFamily="34" charset="-79"/>
              <a:cs typeface="David" panose="020E0502060401010101" pitchFamily="34" charset="-79"/>
            </a:defRPr>
          </a:pPr>
          <a:endParaRPr lang="he-IL"/>
        </a:p>
      </c:txPr>
    </c:legend>
    <c:plotVisOnly val="1"/>
    <c:dispBlanksAs val="gap"/>
    <c:showDLblsOverMax val="0"/>
  </c:chart>
  <c:spPr>
    <a:solidFill>
      <a:sysClr val="window" lastClr="FFFFFF"/>
    </a:solidFill>
    <a:ln w="12700" cap="flat" cmpd="sng" algn="ctr">
      <a:noFill/>
      <a:prstDash val="solid"/>
      <a:miter lim="800000"/>
    </a:ln>
    <a:effectLst/>
  </c:spPr>
  <c:txPr>
    <a:bodyPr/>
    <a:lstStyle/>
    <a:p>
      <a:pPr>
        <a:defRPr>
          <a:solidFill>
            <a:sysClr val="windowText" lastClr="000000"/>
          </a:solidFill>
          <a:latin typeface="+mn-lt"/>
          <a:ea typeface="+mn-ea"/>
          <a:cs typeface="+mn-cs"/>
        </a:defRPr>
      </a:pPr>
      <a:endParaRPr lang="he-I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67948349522005E-2"/>
          <c:y val="3.4332037609222897E-2"/>
          <c:w val="0.8942680613828381"/>
          <c:h val="0.85682625114898614"/>
        </c:manualLayout>
      </c:layout>
      <c:barChart>
        <c:barDir val="col"/>
        <c:grouping val="clustered"/>
        <c:varyColors val="0"/>
        <c:ser>
          <c:idx val="0"/>
          <c:order val="0"/>
          <c:tx>
            <c:strRef>
              <c:f>גיליון1!$B$1</c:f>
              <c:strCache>
                <c:ptCount val="1"/>
                <c:pt idx="0">
                  <c:v>סידרה 1</c:v>
                </c:pt>
              </c:strCache>
            </c:strRef>
          </c:tx>
          <c:invertIfNegative val="0"/>
          <c:dLbls>
            <c:spPr>
              <a:noFill/>
              <a:ln>
                <a:noFill/>
              </a:ln>
              <a:effectLst/>
            </c:spPr>
            <c:txPr>
              <a:bodyPr/>
              <a:lstStyle/>
              <a:p>
                <a:pPr>
                  <a:defRPr sz="1050" b="1">
                    <a:solidFill>
                      <a:schemeClr val="bg1"/>
                    </a:solidFill>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גיליון1!$A$2:$A$6</c:f>
              <c:strCache>
                <c:ptCount val="5"/>
                <c:pt idx="0">
                  <c:v>חרדי</c:v>
                </c:pt>
                <c:pt idx="1">
                  <c:v>דתי/ חרד"לי</c:v>
                </c:pt>
                <c:pt idx="2">
                  <c:v>מסורתי דתי</c:v>
                </c:pt>
                <c:pt idx="3">
                  <c:v>מסורתי לא דתי</c:v>
                </c:pt>
                <c:pt idx="4">
                  <c:v>חילוני</c:v>
                </c:pt>
              </c:strCache>
            </c:strRef>
          </c:cat>
          <c:val>
            <c:numRef>
              <c:f>גיליון1!$B$2:$B$6</c:f>
              <c:numCache>
                <c:formatCode>General</c:formatCode>
                <c:ptCount val="5"/>
                <c:pt idx="0">
                  <c:v>88</c:v>
                </c:pt>
                <c:pt idx="1">
                  <c:v>65</c:v>
                </c:pt>
                <c:pt idx="2">
                  <c:v>62</c:v>
                </c:pt>
                <c:pt idx="3">
                  <c:v>57</c:v>
                </c:pt>
                <c:pt idx="4">
                  <c:v>40</c:v>
                </c:pt>
              </c:numCache>
            </c:numRef>
          </c:val>
          <c:extLst>
            <c:ext xmlns:c16="http://schemas.microsoft.com/office/drawing/2014/chart" uri="{C3380CC4-5D6E-409C-BE32-E72D297353CC}">
              <c16:uniqueId val="{00000000-8F32-4548-BF3D-90D7683A63C4}"/>
            </c:ext>
          </c:extLst>
        </c:ser>
        <c:dLbls>
          <c:showLegendKey val="0"/>
          <c:showVal val="0"/>
          <c:showCatName val="0"/>
          <c:showSerName val="0"/>
          <c:showPercent val="0"/>
          <c:showBubbleSize val="0"/>
        </c:dLbls>
        <c:gapWidth val="75"/>
        <c:overlap val="-25"/>
        <c:axId val="369955584"/>
        <c:axId val="369957120"/>
      </c:barChart>
      <c:catAx>
        <c:axId val="369955584"/>
        <c:scaling>
          <c:orientation val="minMax"/>
        </c:scaling>
        <c:delete val="0"/>
        <c:axPos val="b"/>
        <c:numFmt formatCode="General" sourceLinked="0"/>
        <c:majorTickMark val="none"/>
        <c:minorTickMark val="none"/>
        <c:tickLblPos val="nextTo"/>
        <c:crossAx val="369957120"/>
        <c:crosses val="autoZero"/>
        <c:auto val="1"/>
        <c:lblAlgn val="ctr"/>
        <c:lblOffset val="100"/>
        <c:noMultiLvlLbl val="0"/>
      </c:catAx>
      <c:valAx>
        <c:axId val="369957120"/>
        <c:scaling>
          <c:orientation val="minMax"/>
        </c:scaling>
        <c:delete val="0"/>
        <c:axPos val="l"/>
        <c:majorGridlines/>
        <c:numFmt formatCode="General" sourceLinked="1"/>
        <c:majorTickMark val="none"/>
        <c:minorTickMark val="none"/>
        <c:tickLblPos val="nextTo"/>
        <c:spPr>
          <a:ln w="6350">
            <a:noFill/>
          </a:ln>
        </c:spPr>
        <c:crossAx val="369955584"/>
        <c:crosses val="autoZero"/>
        <c:crossBetween val="between"/>
        <c:majorUnit val="20"/>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29228638086909E-2"/>
          <c:y val="2.4216347956505437E-2"/>
          <c:w val="0.89940780839895018"/>
          <c:h val="0.75069784816223806"/>
        </c:manualLayout>
      </c:layout>
      <c:barChart>
        <c:barDir val="col"/>
        <c:grouping val="stacked"/>
        <c:varyColors val="0"/>
        <c:ser>
          <c:idx val="0"/>
          <c:order val="0"/>
          <c:tx>
            <c:strRef>
              <c:f>גיליון1!$B$1</c:f>
              <c:strCache>
                <c:ptCount val="1"/>
                <c:pt idx="0">
                  <c:v>אופטימיים לגבי מצב הרוח הלאומי</c:v>
                </c:pt>
              </c:strCache>
            </c:strRef>
          </c:tx>
          <c:invertIfNegative val="0"/>
          <c:dLbls>
            <c:spPr>
              <a:noFill/>
              <a:ln>
                <a:noFill/>
              </a:ln>
              <a:effectLst/>
            </c:spPr>
            <c:txPr>
              <a:bodyPr/>
              <a:lstStyle/>
              <a:p>
                <a:pPr>
                  <a:defRPr sz="1100" b="1">
                    <a:solidFill>
                      <a:schemeClr val="bg1"/>
                    </a:solidFill>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גיליון1!$A$2:$A$5</c:f>
              <c:strCache>
                <c:ptCount val="4"/>
                <c:pt idx="0">
                  <c:v>מאוד אופטימיים</c:v>
                </c:pt>
                <c:pt idx="1">
                  <c:v>די אופטימיים</c:v>
                </c:pt>
                <c:pt idx="2">
                  <c:v>די פסימיים</c:v>
                </c:pt>
                <c:pt idx="3">
                  <c:v>מאוד פסימיים</c:v>
                </c:pt>
              </c:strCache>
            </c:strRef>
          </c:cat>
          <c:val>
            <c:numRef>
              <c:f>גיליון1!$B$2:$B$5</c:f>
              <c:numCache>
                <c:formatCode>General</c:formatCode>
                <c:ptCount val="4"/>
                <c:pt idx="0">
                  <c:v>70</c:v>
                </c:pt>
                <c:pt idx="1">
                  <c:v>33</c:v>
                </c:pt>
                <c:pt idx="2">
                  <c:v>6</c:v>
                </c:pt>
                <c:pt idx="3">
                  <c:v>9</c:v>
                </c:pt>
              </c:numCache>
            </c:numRef>
          </c:val>
          <c:extLst>
            <c:ext xmlns:c16="http://schemas.microsoft.com/office/drawing/2014/chart" uri="{C3380CC4-5D6E-409C-BE32-E72D297353CC}">
              <c16:uniqueId val="{00000000-036A-436F-ADD0-4C7F4CE3E3B6}"/>
            </c:ext>
          </c:extLst>
        </c:ser>
        <c:ser>
          <c:idx val="1"/>
          <c:order val="1"/>
          <c:tx>
            <c:strRef>
              <c:f>גיליון1!$C$1</c:f>
              <c:strCache>
                <c:ptCount val="1"/>
                <c:pt idx="0">
                  <c:v>פאסימיים לגבי מצב הרוח הלאומי</c:v>
                </c:pt>
              </c:strCache>
            </c:strRef>
          </c:tx>
          <c:spPr>
            <a:solidFill>
              <a:schemeClr val="accent6"/>
            </a:solidFill>
          </c:spPr>
          <c:invertIfNegative val="0"/>
          <c:dLbls>
            <c:spPr>
              <a:noFill/>
              <a:ln>
                <a:noFill/>
              </a:ln>
              <a:effectLst/>
            </c:spPr>
            <c:txPr>
              <a:bodyPr/>
              <a:lstStyle/>
              <a:p>
                <a:pPr>
                  <a:defRPr sz="1100" b="1">
                    <a:solidFill>
                      <a:schemeClr val="bg1"/>
                    </a:solidFill>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גיליון1!$A$2:$A$5</c:f>
              <c:strCache>
                <c:ptCount val="4"/>
                <c:pt idx="0">
                  <c:v>מאוד אופטימיים</c:v>
                </c:pt>
                <c:pt idx="1">
                  <c:v>די אופטימיים</c:v>
                </c:pt>
                <c:pt idx="2">
                  <c:v>די פסימיים</c:v>
                </c:pt>
                <c:pt idx="3">
                  <c:v>מאוד פסימיים</c:v>
                </c:pt>
              </c:strCache>
            </c:strRef>
          </c:cat>
          <c:val>
            <c:numRef>
              <c:f>גיליון1!$C$2:$C$5</c:f>
              <c:numCache>
                <c:formatCode>General</c:formatCode>
                <c:ptCount val="4"/>
                <c:pt idx="0">
                  <c:v>24</c:v>
                </c:pt>
                <c:pt idx="1">
                  <c:v>60</c:v>
                </c:pt>
                <c:pt idx="2">
                  <c:v>92</c:v>
                </c:pt>
                <c:pt idx="3">
                  <c:v>82</c:v>
                </c:pt>
              </c:numCache>
            </c:numRef>
          </c:val>
          <c:extLst>
            <c:ext xmlns:c16="http://schemas.microsoft.com/office/drawing/2014/chart" uri="{C3380CC4-5D6E-409C-BE32-E72D297353CC}">
              <c16:uniqueId val="{00000001-036A-436F-ADD0-4C7F4CE3E3B6}"/>
            </c:ext>
          </c:extLst>
        </c:ser>
        <c:ser>
          <c:idx val="2"/>
          <c:order val="2"/>
          <c:tx>
            <c:strRef>
              <c:f>גיליון1!$D$1</c:f>
              <c:strCache>
                <c:ptCount val="1"/>
                <c:pt idx="0">
                  <c:v>לא יודעים</c:v>
                </c:pt>
              </c:strCache>
            </c:strRef>
          </c:tx>
          <c:invertIfNegative val="0"/>
          <c:dLbls>
            <c:spPr>
              <a:noFill/>
              <a:ln>
                <a:noFill/>
              </a:ln>
              <a:effectLst/>
            </c:spPr>
            <c:txPr>
              <a:bodyPr/>
              <a:lstStyle/>
              <a:p>
                <a:pPr>
                  <a:defRPr sz="1100" b="1">
                    <a:solidFill>
                      <a:schemeClr val="bg1"/>
                    </a:solidFill>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גיליון1!$A$2:$A$5</c:f>
              <c:strCache>
                <c:ptCount val="4"/>
                <c:pt idx="0">
                  <c:v>מאוד אופטימיים</c:v>
                </c:pt>
                <c:pt idx="1">
                  <c:v>די אופטימיים</c:v>
                </c:pt>
                <c:pt idx="2">
                  <c:v>די פסימיים</c:v>
                </c:pt>
                <c:pt idx="3">
                  <c:v>מאוד פסימיים</c:v>
                </c:pt>
              </c:strCache>
            </c:strRef>
          </c:cat>
          <c:val>
            <c:numRef>
              <c:f>גיליון1!$D$2:$D$5</c:f>
              <c:numCache>
                <c:formatCode>General</c:formatCode>
                <c:ptCount val="4"/>
                <c:pt idx="0">
                  <c:v>6</c:v>
                </c:pt>
                <c:pt idx="1">
                  <c:v>7</c:v>
                </c:pt>
                <c:pt idx="2">
                  <c:v>2</c:v>
                </c:pt>
                <c:pt idx="3">
                  <c:v>9</c:v>
                </c:pt>
              </c:numCache>
            </c:numRef>
          </c:val>
          <c:extLst>
            <c:ext xmlns:c16="http://schemas.microsoft.com/office/drawing/2014/chart" uri="{C3380CC4-5D6E-409C-BE32-E72D297353CC}">
              <c16:uniqueId val="{00000002-036A-436F-ADD0-4C7F4CE3E3B6}"/>
            </c:ext>
          </c:extLst>
        </c:ser>
        <c:dLbls>
          <c:showLegendKey val="0"/>
          <c:showVal val="0"/>
          <c:showCatName val="0"/>
          <c:showSerName val="0"/>
          <c:showPercent val="0"/>
          <c:showBubbleSize val="0"/>
        </c:dLbls>
        <c:gapWidth val="75"/>
        <c:overlap val="100"/>
        <c:axId val="370030080"/>
        <c:axId val="370031616"/>
      </c:barChart>
      <c:catAx>
        <c:axId val="370030080"/>
        <c:scaling>
          <c:orientation val="minMax"/>
        </c:scaling>
        <c:delete val="0"/>
        <c:axPos val="b"/>
        <c:numFmt formatCode="General" sourceLinked="0"/>
        <c:majorTickMark val="none"/>
        <c:minorTickMark val="none"/>
        <c:tickLblPos val="nextTo"/>
        <c:txPr>
          <a:bodyPr/>
          <a:lstStyle/>
          <a:p>
            <a:pPr>
              <a:defRPr b="1"/>
            </a:pPr>
            <a:endParaRPr lang="he-IL"/>
          </a:p>
        </c:txPr>
        <c:crossAx val="370031616"/>
        <c:crosses val="autoZero"/>
        <c:auto val="1"/>
        <c:lblAlgn val="ctr"/>
        <c:lblOffset val="100"/>
        <c:noMultiLvlLbl val="0"/>
      </c:catAx>
      <c:valAx>
        <c:axId val="370031616"/>
        <c:scaling>
          <c:orientation val="minMax"/>
          <c:max val="100"/>
        </c:scaling>
        <c:delete val="0"/>
        <c:axPos val="l"/>
        <c:majorGridlines/>
        <c:numFmt formatCode="General" sourceLinked="1"/>
        <c:majorTickMark val="none"/>
        <c:minorTickMark val="none"/>
        <c:tickLblPos val="nextTo"/>
        <c:spPr>
          <a:ln w="6350">
            <a:noFill/>
          </a:ln>
        </c:spPr>
        <c:crossAx val="370030080"/>
        <c:crosses val="autoZero"/>
        <c:crossBetween val="between"/>
        <c:majorUnit val="20"/>
      </c:valAx>
    </c:plotArea>
    <c:legend>
      <c:legendPos val="b"/>
      <c:layout>
        <c:manualLayout>
          <c:xMode val="edge"/>
          <c:yMode val="edge"/>
          <c:x val="4.9999909180902559E-2"/>
          <c:y val="0.90969831018313718"/>
          <c:w val="0.9"/>
          <c:h val="9.0301689816862776E-2"/>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2.5867136978248089E-2"/>
          <c:y val="5.0228310502283102E-2"/>
          <c:w val="0.97413286302175195"/>
          <c:h val="0.67238018192931359"/>
        </c:manualLayout>
      </c:layout>
      <c:pie3DChart>
        <c:varyColors val="1"/>
        <c:ser>
          <c:idx val="0"/>
          <c:order val="0"/>
          <c:tx>
            <c:strRef>
              <c:f>גיליון1!$B$1</c:f>
              <c:strCache>
                <c:ptCount val="1"/>
                <c:pt idx="0">
                  <c:v>מכירות</c:v>
                </c:pt>
              </c:strCache>
            </c:strRef>
          </c:tx>
          <c:dPt>
            <c:idx val="0"/>
            <c:bubble3D val="0"/>
            <c:spPr>
              <a:solidFill>
                <a:schemeClr val="accent5"/>
              </a:solidFill>
              <a:ln>
                <a:solidFill>
                  <a:schemeClr val="accent5"/>
                </a:solidFill>
              </a:ln>
            </c:spPr>
            <c:extLst>
              <c:ext xmlns:c16="http://schemas.microsoft.com/office/drawing/2014/chart" uri="{C3380CC4-5D6E-409C-BE32-E72D297353CC}">
                <c16:uniqueId val="{00000001-D0EE-4FD3-A575-CAC3A3522E8D}"/>
              </c:ext>
            </c:extLst>
          </c:dPt>
          <c:dPt>
            <c:idx val="1"/>
            <c:bubble3D val="0"/>
            <c:spPr>
              <a:solidFill>
                <a:schemeClr val="accent5">
                  <a:lumMod val="40000"/>
                  <a:lumOff val="60000"/>
                </a:schemeClr>
              </a:solidFill>
            </c:spPr>
            <c:extLst>
              <c:ext xmlns:c16="http://schemas.microsoft.com/office/drawing/2014/chart" uri="{C3380CC4-5D6E-409C-BE32-E72D297353CC}">
                <c16:uniqueId val="{00000003-D0EE-4FD3-A575-CAC3A3522E8D}"/>
              </c:ext>
            </c:extLst>
          </c:dPt>
          <c:dPt>
            <c:idx val="2"/>
            <c:bubble3D val="0"/>
            <c:spPr>
              <a:solidFill>
                <a:schemeClr val="accent4">
                  <a:lumMod val="40000"/>
                  <a:lumOff val="60000"/>
                </a:schemeClr>
              </a:solidFill>
            </c:spPr>
            <c:extLst>
              <c:ext xmlns:c16="http://schemas.microsoft.com/office/drawing/2014/chart" uri="{C3380CC4-5D6E-409C-BE32-E72D297353CC}">
                <c16:uniqueId val="{00000005-D0EE-4FD3-A575-CAC3A3522E8D}"/>
              </c:ext>
            </c:extLst>
          </c:dPt>
          <c:dPt>
            <c:idx val="3"/>
            <c:bubble3D val="0"/>
            <c:spPr>
              <a:solidFill>
                <a:schemeClr val="accent6">
                  <a:lumMod val="60000"/>
                  <a:lumOff val="40000"/>
                </a:schemeClr>
              </a:solidFill>
            </c:spPr>
            <c:extLst>
              <c:ext xmlns:c16="http://schemas.microsoft.com/office/drawing/2014/chart" uri="{C3380CC4-5D6E-409C-BE32-E72D297353CC}">
                <c16:uniqueId val="{00000007-D0EE-4FD3-A575-CAC3A3522E8D}"/>
              </c:ext>
            </c:extLst>
          </c:dPt>
          <c:dPt>
            <c:idx val="4"/>
            <c:bubble3D val="0"/>
            <c:spPr>
              <a:solidFill>
                <a:schemeClr val="accent6"/>
              </a:solidFill>
            </c:spPr>
            <c:extLst>
              <c:ext xmlns:c16="http://schemas.microsoft.com/office/drawing/2014/chart" uri="{C3380CC4-5D6E-409C-BE32-E72D297353CC}">
                <c16:uniqueId val="{00000009-D0EE-4FD3-A575-CAC3A3522E8D}"/>
              </c:ext>
            </c:extLst>
          </c:dPt>
          <c:dPt>
            <c:idx val="5"/>
            <c:bubble3D val="0"/>
            <c:spPr>
              <a:solidFill>
                <a:schemeClr val="bg1">
                  <a:lumMod val="75000"/>
                </a:schemeClr>
              </a:solidFill>
            </c:spPr>
            <c:extLst>
              <c:ext xmlns:c16="http://schemas.microsoft.com/office/drawing/2014/chart" uri="{C3380CC4-5D6E-409C-BE32-E72D297353CC}">
                <c16:uniqueId val="{0000000B-D0EE-4FD3-A575-CAC3A3522E8D}"/>
              </c:ext>
            </c:extLst>
          </c:dPt>
          <c:dLbls>
            <c:spPr>
              <a:noFill/>
              <a:ln>
                <a:noFill/>
              </a:ln>
              <a:effectLst/>
            </c:spPr>
            <c:txPr>
              <a:bodyPr/>
              <a:lstStyle/>
              <a:p>
                <a:pPr>
                  <a:defRPr sz="1100" b="1">
                    <a:solidFill>
                      <a:schemeClr val="bg1"/>
                    </a:solidFill>
                  </a:defRPr>
                </a:pPr>
                <a:endParaRPr lang="he-IL"/>
              </a:p>
            </c:txPr>
            <c:showLegendKey val="0"/>
            <c:showVal val="1"/>
            <c:showCatName val="0"/>
            <c:showSerName val="0"/>
            <c:showPercent val="0"/>
            <c:showBubbleSize val="0"/>
            <c:showLeaderLines val="1"/>
            <c:extLst>
              <c:ext xmlns:c15="http://schemas.microsoft.com/office/drawing/2012/chart" uri="{CE6537A1-D6FC-4f65-9D91-7224C49458BB}"/>
            </c:extLst>
          </c:dLbls>
          <c:cat>
            <c:strRef>
              <c:f>גיליון1!$A$2:$A$7</c:f>
              <c:strCache>
                <c:ptCount val="6"/>
                <c:pt idx="0">
                  <c:v> הרבה יותר טובה מהשנה שמסתיימת</c:v>
                </c:pt>
                <c:pt idx="1">
                  <c:v> קצת יותר טובה מהשנה שמסתיימת</c:v>
                </c:pt>
                <c:pt idx="2">
                  <c:v> כמו השנה שמסתיימת</c:v>
                </c:pt>
                <c:pt idx="3">
                  <c:v> קצת פחות טובה מהשנה שמסתיימת</c:v>
                </c:pt>
                <c:pt idx="4">
                  <c:v> הרבה פחות טובה מהשנה שמסתיימת</c:v>
                </c:pt>
                <c:pt idx="5">
                  <c:v>לא יודעים</c:v>
                </c:pt>
              </c:strCache>
            </c:strRef>
          </c:cat>
          <c:val>
            <c:numRef>
              <c:f>גיליון1!$B$2:$B$7</c:f>
              <c:numCache>
                <c:formatCode>General</c:formatCode>
                <c:ptCount val="6"/>
                <c:pt idx="0">
                  <c:v>7</c:v>
                </c:pt>
                <c:pt idx="1">
                  <c:v>20.5</c:v>
                </c:pt>
                <c:pt idx="2">
                  <c:v>22</c:v>
                </c:pt>
                <c:pt idx="3">
                  <c:v>20.5</c:v>
                </c:pt>
                <c:pt idx="4">
                  <c:v>20</c:v>
                </c:pt>
                <c:pt idx="5">
                  <c:v>10</c:v>
                </c:pt>
              </c:numCache>
            </c:numRef>
          </c:val>
          <c:extLst>
            <c:ext xmlns:c16="http://schemas.microsoft.com/office/drawing/2014/chart" uri="{C3380CC4-5D6E-409C-BE32-E72D297353CC}">
              <c16:uniqueId val="{0000000C-D0EE-4FD3-A575-CAC3A3522E8D}"/>
            </c:ext>
          </c:extLst>
        </c:ser>
        <c:dLbls>
          <c:showLegendKey val="0"/>
          <c:showVal val="0"/>
          <c:showCatName val="0"/>
          <c:showSerName val="0"/>
          <c:showPercent val="0"/>
          <c:showBubbleSize val="0"/>
          <c:showLeaderLines val="1"/>
        </c:dLbls>
      </c:pie3DChart>
    </c:plotArea>
    <c:legend>
      <c:legendPos val="b"/>
      <c:layout>
        <c:manualLayout>
          <c:xMode val="edge"/>
          <c:yMode val="edge"/>
          <c:x val="6.2509720183282172E-2"/>
          <c:y val="0.7367791526059243"/>
          <c:w val="0.91339863872948079"/>
          <c:h val="0.23147481564804401"/>
        </c:manualLayout>
      </c:layout>
      <c:overlay val="0"/>
      <c:txPr>
        <a:bodyPr/>
        <a:lstStyle/>
        <a:p>
          <a:pPr>
            <a:defRPr sz="1000"/>
          </a:pPr>
          <a:endParaRPr lang="he-IL"/>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258858267716537E-2"/>
          <c:y val="2.6942691766178233E-2"/>
          <c:w val="0.91227817876932049"/>
          <c:h val="0.88764179312023084"/>
        </c:manualLayout>
      </c:layout>
      <c:barChart>
        <c:barDir val="col"/>
        <c:grouping val="clustered"/>
        <c:varyColors val="0"/>
        <c:ser>
          <c:idx val="0"/>
          <c:order val="0"/>
          <c:tx>
            <c:strRef>
              <c:f>גיליון1!$B$1</c:f>
              <c:strCache>
                <c:ptCount val="1"/>
                <c:pt idx="0">
                  <c:v>סידרה 1</c:v>
                </c:pt>
              </c:strCache>
            </c:strRef>
          </c:tx>
          <c:invertIfNegative val="0"/>
          <c:dLbls>
            <c:spPr>
              <a:noFill/>
              <a:ln>
                <a:noFill/>
              </a:ln>
              <a:effectLst/>
            </c:spPr>
            <c:txPr>
              <a:bodyPr/>
              <a:lstStyle/>
              <a:p>
                <a:pPr>
                  <a:defRPr sz="1100" b="1">
                    <a:solidFill>
                      <a:schemeClr val="bg1"/>
                    </a:solidFill>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גיליון1!$A$2:$A$6</c:f>
              <c:strCache>
                <c:ptCount val="5"/>
                <c:pt idx="0">
                  <c:v>ספמבר 2014</c:v>
                </c:pt>
                <c:pt idx="1">
                  <c:v>ספטמבר 2017</c:v>
                </c:pt>
                <c:pt idx="2">
                  <c:v>אוגוסט 2018</c:v>
                </c:pt>
                <c:pt idx="3">
                  <c:v>ספטמבר 2019</c:v>
                </c:pt>
                <c:pt idx="4">
                  <c:v>אוגוסט 2020</c:v>
                </c:pt>
              </c:strCache>
            </c:strRef>
          </c:cat>
          <c:val>
            <c:numRef>
              <c:f>גיליון1!$B$2:$B$6</c:f>
              <c:numCache>
                <c:formatCode>General</c:formatCode>
                <c:ptCount val="5"/>
                <c:pt idx="0">
                  <c:v>18</c:v>
                </c:pt>
                <c:pt idx="1">
                  <c:v>13</c:v>
                </c:pt>
                <c:pt idx="2">
                  <c:v>16</c:v>
                </c:pt>
                <c:pt idx="3">
                  <c:v>17</c:v>
                </c:pt>
                <c:pt idx="4">
                  <c:v>41</c:v>
                </c:pt>
              </c:numCache>
            </c:numRef>
          </c:val>
          <c:extLst>
            <c:ext xmlns:c16="http://schemas.microsoft.com/office/drawing/2014/chart" uri="{C3380CC4-5D6E-409C-BE32-E72D297353CC}">
              <c16:uniqueId val="{00000000-3438-4AF2-BE1C-99DC5707A2D9}"/>
            </c:ext>
          </c:extLst>
        </c:ser>
        <c:dLbls>
          <c:showLegendKey val="0"/>
          <c:showVal val="0"/>
          <c:showCatName val="0"/>
          <c:showSerName val="0"/>
          <c:showPercent val="0"/>
          <c:showBubbleSize val="0"/>
        </c:dLbls>
        <c:gapWidth val="75"/>
        <c:overlap val="-25"/>
        <c:axId val="370121728"/>
        <c:axId val="370127616"/>
      </c:barChart>
      <c:catAx>
        <c:axId val="370121728"/>
        <c:scaling>
          <c:orientation val="minMax"/>
        </c:scaling>
        <c:delete val="0"/>
        <c:axPos val="b"/>
        <c:numFmt formatCode="General" sourceLinked="0"/>
        <c:majorTickMark val="none"/>
        <c:minorTickMark val="none"/>
        <c:tickLblPos val="nextTo"/>
        <c:crossAx val="370127616"/>
        <c:crosses val="autoZero"/>
        <c:auto val="1"/>
        <c:lblAlgn val="ctr"/>
        <c:lblOffset val="100"/>
        <c:noMultiLvlLbl val="0"/>
      </c:catAx>
      <c:valAx>
        <c:axId val="370127616"/>
        <c:scaling>
          <c:orientation val="minMax"/>
          <c:max val="50"/>
        </c:scaling>
        <c:delete val="0"/>
        <c:axPos val="l"/>
        <c:majorGridlines/>
        <c:numFmt formatCode="General" sourceLinked="1"/>
        <c:majorTickMark val="none"/>
        <c:minorTickMark val="none"/>
        <c:tickLblPos val="nextTo"/>
        <c:spPr>
          <a:ln w="6350">
            <a:noFill/>
          </a:ln>
        </c:spPr>
        <c:crossAx val="370121728"/>
        <c:crosses val="autoZero"/>
        <c:crossBetween val="between"/>
        <c:majorUnit val="10"/>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2021420709508"/>
          <c:y val="0.13040099154272383"/>
          <c:w val="0.36491956650579965"/>
          <c:h val="0.83796344901331776"/>
        </c:manualLayout>
      </c:layout>
      <c:pieChart>
        <c:varyColors val="1"/>
        <c:ser>
          <c:idx val="0"/>
          <c:order val="0"/>
          <c:tx>
            <c:strRef>
              <c:f>גיליון1!$B$1</c:f>
              <c:strCache>
                <c:ptCount val="1"/>
                <c:pt idx="0">
                  <c:v>מכירות</c:v>
                </c:pt>
              </c:strCache>
            </c:strRef>
          </c:tx>
          <c:dPt>
            <c:idx val="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01-A809-4A04-9906-BE8216371F7B}"/>
              </c:ext>
            </c:extLst>
          </c:dPt>
          <c:dPt>
            <c:idx val="1"/>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2-A809-4A04-9906-BE8216371F7B}"/>
              </c:ext>
            </c:extLst>
          </c:dPt>
          <c:dPt>
            <c:idx val="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3-A809-4A04-9906-BE8216371F7B}"/>
              </c:ext>
            </c:extLst>
          </c:dPt>
          <c:dPt>
            <c:idx val="3"/>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4-A809-4A04-9906-BE8216371F7B}"/>
              </c:ext>
            </c:extLst>
          </c:dPt>
          <c:dPt>
            <c:idx val="4"/>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5-A809-4A04-9906-BE8216371F7B}"/>
              </c:ext>
            </c:extLst>
          </c:dPt>
          <c:dLbls>
            <c:spPr>
              <a:noFill/>
              <a:ln>
                <a:noFill/>
              </a:ln>
              <a:effectLst/>
            </c:spPr>
            <c:txPr>
              <a:bodyPr/>
              <a:lstStyle/>
              <a:p>
                <a:pPr>
                  <a:defRPr sz="1100" b="1"/>
                </a:pPr>
                <a:endParaRPr lang="he-IL"/>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גיליון1!$A$2:$A$6</c:f>
              <c:strCache>
                <c:ptCount val="5"/>
                <c:pt idx="0">
                  <c:v>נמוכים מאוד</c:v>
                </c:pt>
                <c:pt idx="1">
                  <c:v>די נמוכים</c:v>
                </c:pt>
                <c:pt idx="2">
                  <c:v>די גבוהים</c:v>
                </c:pt>
                <c:pt idx="3">
                  <c:v>גבוהים מאוד</c:v>
                </c:pt>
                <c:pt idx="4">
                  <c:v>לא יודעים</c:v>
                </c:pt>
              </c:strCache>
            </c:strRef>
          </c:cat>
          <c:val>
            <c:numRef>
              <c:f>גיליון1!$B$2:$B$6</c:f>
              <c:numCache>
                <c:formatCode>General</c:formatCode>
                <c:ptCount val="5"/>
                <c:pt idx="0">
                  <c:v>4</c:v>
                </c:pt>
                <c:pt idx="1">
                  <c:v>14</c:v>
                </c:pt>
                <c:pt idx="2">
                  <c:v>45</c:v>
                </c:pt>
                <c:pt idx="3">
                  <c:v>23</c:v>
                </c:pt>
                <c:pt idx="4">
                  <c:v>14</c:v>
                </c:pt>
              </c:numCache>
            </c:numRef>
          </c:val>
          <c:extLst>
            <c:ext xmlns:c16="http://schemas.microsoft.com/office/drawing/2014/chart" uri="{C3380CC4-5D6E-409C-BE32-E72D297353CC}">
              <c16:uniqueId val="{00000000-A809-4A04-9906-BE8216371F7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440787176281082"/>
          <c:y val="0.36183054041321761"/>
          <c:w val="0.23547767902402761"/>
          <c:h val="0.54300558584023151"/>
        </c:manualLayout>
      </c:layout>
      <c:overlay val="0"/>
      <c:spPr>
        <a:noFill/>
        <a:ln>
          <a:noFill/>
        </a:ln>
        <a:effectLst/>
      </c:spPr>
      <c:txPr>
        <a:bodyPr rot="0" vert="horz"/>
        <a:lstStyle/>
        <a:p>
          <a:pPr>
            <a:defRPr/>
          </a:pPr>
          <a:endParaRPr lang="he-I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83132837561972"/>
          <c:y val="0"/>
          <c:w val="0.77315015310586177"/>
          <c:h val="0.83729887326089514"/>
        </c:manualLayout>
      </c:layout>
      <c:barChart>
        <c:barDir val="bar"/>
        <c:grouping val="clustered"/>
        <c:varyColors val="0"/>
        <c:ser>
          <c:idx val="0"/>
          <c:order val="0"/>
          <c:tx>
            <c:strRef>
              <c:f>גיליון1!$B$1</c:f>
              <c:strCache>
                <c:ptCount val="1"/>
                <c:pt idx="0">
                  <c:v>נתניהו</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גיליון1!$A$2:$A$9</c:f>
              <c:strCache>
                <c:ptCount val="8"/>
                <c:pt idx="0">
                  <c:v>שס</c:v>
                </c:pt>
                <c:pt idx="1">
                  <c:v>יהדות התורה</c:v>
                </c:pt>
                <c:pt idx="2">
                  <c:v>ליכוד</c:v>
                </c:pt>
                <c:pt idx="3">
                  <c:v>ימינה</c:v>
                </c:pt>
                <c:pt idx="4">
                  <c:v>הרשימה המשותפת</c:v>
                </c:pt>
                <c:pt idx="5">
                  <c:v>ישראל ביתנו</c:v>
                </c:pt>
                <c:pt idx="6">
                  <c:v>עבודה-גשר-מרצ</c:v>
                </c:pt>
                <c:pt idx="7">
                  <c:v>כחול לבן</c:v>
                </c:pt>
              </c:strCache>
            </c:strRef>
          </c:cat>
          <c:val>
            <c:numRef>
              <c:f>גיליון1!$B$2:$B$9</c:f>
              <c:numCache>
                <c:formatCode>General</c:formatCode>
                <c:ptCount val="8"/>
                <c:pt idx="0">
                  <c:v>54</c:v>
                </c:pt>
                <c:pt idx="1">
                  <c:v>37</c:v>
                </c:pt>
                <c:pt idx="2">
                  <c:v>39</c:v>
                </c:pt>
                <c:pt idx="3">
                  <c:v>25</c:v>
                </c:pt>
                <c:pt idx="4">
                  <c:v>17</c:v>
                </c:pt>
                <c:pt idx="5">
                  <c:v>18</c:v>
                </c:pt>
                <c:pt idx="6">
                  <c:v>6</c:v>
                </c:pt>
                <c:pt idx="7">
                  <c:v>4</c:v>
                </c:pt>
              </c:numCache>
            </c:numRef>
          </c:val>
          <c:extLst>
            <c:ext xmlns:c16="http://schemas.microsoft.com/office/drawing/2014/chart" uri="{C3380CC4-5D6E-409C-BE32-E72D297353CC}">
              <c16:uniqueId val="{00000000-FC3F-480F-B196-E0908F095B87}"/>
            </c:ext>
          </c:extLst>
        </c:ser>
        <c:ser>
          <c:idx val="1"/>
          <c:order val="1"/>
          <c:tx>
            <c:strRef>
              <c:f>גיליון1!$C$1</c:f>
              <c:strCache>
                <c:ptCount val="1"/>
                <c:pt idx="0">
                  <c:v>גנץ</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גיליון1!$A$2:$A$9</c:f>
              <c:strCache>
                <c:ptCount val="8"/>
                <c:pt idx="0">
                  <c:v>שס</c:v>
                </c:pt>
                <c:pt idx="1">
                  <c:v>יהדות התורה</c:v>
                </c:pt>
                <c:pt idx="2">
                  <c:v>ליכוד</c:v>
                </c:pt>
                <c:pt idx="3">
                  <c:v>ימינה</c:v>
                </c:pt>
                <c:pt idx="4">
                  <c:v>הרשימה המשותפת</c:v>
                </c:pt>
                <c:pt idx="5">
                  <c:v>ישראל ביתנו</c:v>
                </c:pt>
                <c:pt idx="6">
                  <c:v>עבודה-גשר-מרצ</c:v>
                </c:pt>
                <c:pt idx="7">
                  <c:v>כחול לבן</c:v>
                </c:pt>
              </c:strCache>
            </c:strRef>
          </c:cat>
          <c:val>
            <c:numRef>
              <c:f>גיליון1!$C$2:$C$9</c:f>
              <c:numCache>
                <c:formatCode>General</c:formatCode>
                <c:ptCount val="8"/>
                <c:pt idx="0">
                  <c:v>21</c:v>
                </c:pt>
                <c:pt idx="1">
                  <c:v>24</c:v>
                </c:pt>
                <c:pt idx="2">
                  <c:v>24.5</c:v>
                </c:pt>
                <c:pt idx="3">
                  <c:v>25</c:v>
                </c:pt>
                <c:pt idx="4">
                  <c:v>32</c:v>
                </c:pt>
                <c:pt idx="5">
                  <c:v>34</c:v>
                </c:pt>
                <c:pt idx="6">
                  <c:v>65</c:v>
                </c:pt>
                <c:pt idx="7">
                  <c:v>79</c:v>
                </c:pt>
              </c:numCache>
            </c:numRef>
          </c:val>
          <c:extLst>
            <c:ext xmlns:c16="http://schemas.microsoft.com/office/drawing/2014/chart" uri="{C3380CC4-5D6E-409C-BE32-E72D297353CC}">
              <c16:uniqueId val="{00000001-FC3F-480F-B196-E0908F095B87}"/>
            </c:ext>
          </c:extLst>
        </c:ser>
        <c:ser>
          <c:idx val="2"/>
          <c:order val="2"/>
          <c:tx>
            <c:strRef>
              <c:f>גיליון1!$D$1</c:f>
              <c:strCache>
                <c:ptCount val="1"/>
                <c:pt idx="0">
                  <c:v>שניהם באותה מידה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גיליון1!$A$2:$A$9</c:f>
              <c:strCache>
                <c:ptCount val="8"/>
                <c:pt idx="0">
                  <c:v>שס</c:v>
                </c:pt>
                <c:pt idx="1">
                  <c:v>יהדות התורה</c:v>
                </c:pt>
                <c:pt idx="2">
                  <c:v>ליכוד</c:v>
                </c:pt>
                <c:pt idx="3">
                  <c:v>ימינה</c:v>
                </c:pt>
                <c:pt idx="4">
                  <c:v>הרשימה המשותפת</c:v>
                </c:pt>
                <c:pt idx="5">
                  <c:v>ישראל ביתנו</c:v>
                </c:pt>
                <c:pt idx="6">
                  <c:v>עבודה-גשר-מרצ</c:v>
                </c:pt>
                <c:pt idx="7">
                  <c:v>כחול לבן</c:v>
                </c:pt>
              </c:strCache>
            </c:strRef>
          </c:cat>
          <c:val>
            <c:numRef>
              <c:f>גיליון1!$D$2:$D$9</c:f>
              <c:numCache>
                <c:formatCode>General</c:formatCode>
                <c:ptCount val="8"/>
                <c:pt idx="0">
                  <c:v>8</c:v>
                </c:pt>
                <c:pt idx="1">
                  <c:v>5</c:v>
                </c:pt>
                <c:pt idx="2">
                  <c:v>18</c:v>
                </c:pt>
                <c:pt idx="3">
                  <c:v>29</c:v>
                </c:pt>
                <c:pt idx="4">
                  <c:v>20</c:v>
                </c:pt>
                <c:pt idx="5">
                  <c:v>21</c:v>
                </c:pt>
                <c:pt idx="6">
                  <c:v>15</c:v>
                </c:pt>
                <c:pt idx="7">
                  <c:v>6</c:v>
                </c:pt>
              </c:numCache>
            </c:numRef>
          </c:val>
          <c:extLst>
            <c:ext xmlns:c16="http://schemas.microsoft.com/office/drawing/2014/chart" uri="{C3380CC4-5D6E-409C-BE32-E72D297353CC}">
              <c16:uniqueId val="{00000002-FC3F-480F-B196-E0908F095B87}"/>
            </c:ext>
          </c:extLst>
        </c:ser>
        <c:dLbls>
          <c:dLblPos val="outEnd"/>
          <c:showLegendKey val="0"/>
          <c:showVal val="1"/>
          <c:showCatName val="0"/>
          <c:showSerName val="0"/>
          <c:showPercent val="0"/>
          <c:showBubbleSize val="0"/>
        </c:dLbls>
        <c:gapWidth val="127"/>
        <c:axId val="361490304"/>
        <c:axId val="361491840"/>
      </c:barChart>
      <c:catAx>
        <c:axId val="361490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361491840"/>
        <c:crosses val="autoZero"/>
        <c:auto val="1"/>
        <c:lblAlgn val="ctr"/>
        <c:lblOffset val="100"/>
        <c:noMultiLvlLbl val="0"/>
      </c:catAx>
      <c:valAx>
        <c:axId val="36149184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6149030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he-IL"/>
        </a:p>
      </c:txPr>
    </c:legend>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4871752721933E-2"/>
          <c:y val="5.7673632142136083E-2"/>
          <c:w val="0.90862750959799288"/>
          <c:h val="0.7849518249501094"/>
        </c:manualLayout>
      </c:layout>
      <c:barChart>
        <c:barDir val="col"/>
        <c:grouping val="clustered"/>
        <c:varyColors val="0"/>
        <c:ser>
          <c:idx val="0"/>
          <c:order val="0"/>
          <c:tx>
            <c:strRef>
              <c:f>גיליון1!$B$1</c:f>
              <c:strCache>
                <c:ptCount val="1"/>
                <c:pt idx="0">
                  <c:v>סידרה 1</c:v>
                </c:pt>
              </c:strCache>
            </c:strRef>
          </c:tx>
          <c:spPr>
            <a:solidFill>
              <a:schemeClr val="accent1"/>
            </a:solidFill>
            <a:ln>
              <a:noFill/>
            </a:ln>
            <a:effectLst/>
          </c:spPr>
          <c:invertIfNegative val="0"/>
          <c:dLbls>
            <c:spPr>
              <a:noFill/>
              <a:ln>
                <a:noFill/>
              </a:ln>
              <a:effectLst/>
            </c:spPr>
            <c:txPr>
              <a:bodyPr rot="0" vert="horz"/>
              <a:lstStyle/>
              <a:p>
                <a:pPr>
                  <a:defRPr sz="1100" b="1">
                    <a:solidFill>
                      <a:sysClr val="windowText" lastClr="000000"/>
                    </a:solidFill>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שמאל</c:v>
                </c:pt>
                <c:pt idx="1">
                  <c:v>מרכז</c:v>
                </c:pt>
                <c:pt idx="2">
                  <c:v>ימין</c:v>
                </c:pt>
              </c:strCache>
            </c:strRef>
          </c:cat>
          <c:val>
            <c:numRef>
              <c:f>גיליון1!$B$2:$B$4</c:f>
              <c:numCache>
                <c:formatCode>General</c:formatCode>
                <c:ptCount val="3"/>
                <c:pt idx="0">
                  <c:v>30</c:v>
                </c:pt>
                <c:pt idx="1">
                  <c:v>11</c:v>
                </c:pt>
                <c:pt idx="2">
                  <c:v>4</c:v>
                </c:pt>
              </c:numCache>
            </c:numRef>
          </c:val>
          <c:extLst>
            <c:ext xmlns:c16="http://schemas.microsoft.com/office/drawing/2014/chart" uri="{C3380CC4-5D6E-409C-BE32-E72D297353CC}">
              <c16:uniqueId val="{00000000-92BD-4340-909C-C1166B2A3B3C}"/>
            </c:ext>
          </c:extLst>
        </c:ser>
        <c:dLbls>
          <c:dLblPos val="outEnd"/>
          <c:showLegendKey val="0"/>
          <c:showVal val="1"/>
          <c:showCatName val="0"/>
          <c:showSerName val="0"/>
          <c:showPercent val="0"/>
          <c:showBubbleSize val="0"/>
        </c:dLbls>
        <c:gapWidth val="219"/>
        <c:overlap val="-27"/>
        <c:axId val="361376384"/>
        <c:axId val="361391616"/>
      </c:barChart>
      <c:catAx>
        <c:axId val="36137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he-IL"/>
          </a:p>
        </c:txPr>
        <c:crossAx val="361391616"/>
        <c:crosses val="autoZero"/>
        <c:auto val="1"/>
        <c:lblAlgn val="ctr"/>
        <c:lblOffset val="100"/>
        <c:noMultiLvlLbl val="0"/>
      </c:catAx>
      <c:valAx>
        <c:axId val="361391616"/>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he-IL"/>
          </a:p>
        </c:txPr>
        <c:crossAx val="361376384"/>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סידרה 1</c:v>
                </c:pt>
              </c:strCache>
            </c:strRef>
          </c:tx>
          <c:spPr>
            <a:solidFill>
              <a:schemeClr val="accent1"/>
            </a:solidFill>
            <a:ln>
              <a:noFill/>
            </a:ln>
            <a:effectLst/>
          </c:spPr>
          <c:invertIfNegative val="0"/>
          <c:dLbls>
            <c:spPr>
              <a:noFill/>
              <a:ln>
                <a:noFill/>
              </a:ln>
              <a:effectLst/>
            </c:spPr>
            <c:txPr>
              <a:bodyPr rot="0" vert="horz"/>
              <a:lstStyle/>
              <a:p>
                <a:pPr>
                  <a:defRPr sz="1100" b="1">
                    <a:solidFill>
                      <a:schemeClr val="bg1"/>
                    </a:solidFill>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גיליון1!$A$2:$A$7</c:f>
              <c:strCache>
                <c:ptCount val="6"/>
                <c:pt idx="0">
                  <c:v>18-24</c:v>
                </c:pt>
                <c:pt idx="1">
                  <c:v>25-34</c:v>
                </c:pt>
                <c:pt idx="2">
                  <c:v>35-44</c:v>
                </c:pt>
                <c:pt idx="3">
                  <c:v>45-54</c:v>
                </c:pt>
                <c:pt idx="4">
                  <c:v>55-64</c:v>
                </c:pt>
                <c:pt idx="5">
                  <c:v>65 ומעלה</c:v>
                </c:pt>
              </c:strCache>
            </c:strRef>
          </c:cat>
          <c:val>
            <c:numRef>
              <c:f>גיליון1!$B$2:$B$7</c:f>
              <c:numCache>
                <c:formatCode>General</c:formatCode>
                <c:ptCount val="6"/>
                <c:pt idx="0">
                  <c:v>10</c:v>
                </c:pt>
                <c:pt idx="1">
                  <c:v>9</c:v>
                </c:pt>
                <c:pt idx="2">
                  <c:v>5</c:v>
                </c:pt>
                <c:pt idx="3">
                  <c:v>5</c:v>
                </c:pt>
                <c:pt idx="4">
                  <c:v>12</c:v>
                </c:pt>
                <c:pt idx="5">
                  <c:v>15</c:v>
                </c:pt>
              </c:numCache>
            </c:numRef>
          </c:val>
          <c:extLst>
            <c:ext xmlns:c16="http://schemas.microsoft.com/office/drawing/2014/chart" uri="{C3380CC4-5D6E-409C-BE32-E72D297353CC}">
              <c16:uniqueId val="{00000000-886B-4CF3-9F22-D80B0947A7DA}"/>
            </c:ext>
          </c:extLst>
        </c:ser>
        <c:dLbls>
          <c:dLblPos val="outEnd"/>
          <c:showLegendKey val="0"/>
          <c:showVal val="1"/>
          <c:showCatName val="0"/>
          <c:showSerName val="0"/>
          <c:showPercent val="0"/>
          <c:showBubbleSize val="0"/>
        </c:dLbls>
        <c:gapWidth val="83"/>
        <c:overlap val="-27"/>
        <c:axId val="365126016"/>
        <c:axId val="365128704"/>
      </c:barChart>
      <c:catAx>
        <c:axId val="3651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he-IL"/>
          </a:p>
        </c:txPr>
        <c:crossAx val="365128704"/>
        <c:crosses val="autoZero"/>
        <c:auto val="1"/>
        <c:lblAlgn val="ctr"/>
        <c:lblOffset val="100"/>
        <c:noMultiLvlLbl val="0"/>
      </c:catAx>
      <c:valAx>
        <c:axId val="365128704"/>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he-IL"/>
          </a:p>
        </c:txPr>
        <c:crossAx val="365126016"/>
        <c:crosses val="autoZero"/>
        <c:crossBetween val="between"/>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יותר המשטרה</c:v>
                </c:pt>
              </c:strCache>
            </c:strRef>
          </c:tx>
          <c:spPr>
            <a:solidFill>
              <a:schemeClr val="accent1"/>
            </a:solidFill>
            <a:ln>
              <a:noFill/>
            </a:ln>
            <a:effectLst/>
          </c:spPr>
          <c:invertIfNegative val="0"/>
          <c:dLbls>
            <c:spPr>
              <a:noFill/>
              <a:ln>
                <a:noFill/>
              </a:ln>
              <a:effectLst/>
            </c:spPr>
            <c:txPr>
              <a:bodyPr rot="0" vert="horz"/>
              <a:lstStyle/>
              <a:p>
                <a:pPr>
                  <a:defRPr sz="1100" b="1"/>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שמאל</c:v>
                </c:pt>
                <c:pt idx="1">
                  <c:v>מרכז</c:v>
                </c:pt>
                <c:pt idx="2">
                  <c:v>ימין</c:v>
                </c:pt>
              </c:strCache>
            </c:strRef>
          </c:cat>
          <c:val>
            <c:numRef>
              <c:f>גיליון1!$B$2:$B$4</c:f>
              <c:numCache>
                <c:formatCode>General</c:formatCode>
                <c:ptCount val="3"/>
                <c:pt idx="0">
                  <c:v>67</c:v>
                </c:pt>
                <c:pt idx="1">
                  <c:v>39</c:v>
                </c:pt>
                <c:pt idx="2">
                  <c:v>16</c:v>
                </c:pt>
              </c:numCache>
            </c:numRef>
          </c:val>
          <c:extLst>
            <c:ext xmlns:c16="http://schemas.microsoft.com/office/drawing/2014/chart" uri="{C3380CC4-5D6E-409C-BE32-E72D297353CC}">
              <c16:uniqueId val="{00000000-A8D0-49BC-99C0-656849847E9E}"/>
            </c:ext>
          </c:extLst>
        </c:ser>
        <c:ser>
          <c:idx val="1"/>
          <c:order val="1"/>
          <c:tx>
            <c:strRef>
              <c:f>גיליון1!$C$1</c:f>
              <c:strCache>
                <c:ptCount val="1"/>
                <c:pt idx="0">
                  <c:v>יותר המפגינים</c:v>
                </c:pt>
              </c:strCache>
            </c:strRef>
          </c:tx>
          <c:spPr>
            <a:solidFill>
              <a:schemeClr val="accent6"/>
            </a:solidFill>
            <a:ln>
              <a:noFill/>
            </a:ln>
            <a:effectLst/>
          </c:spPr>
          <c:invertIfNegative val="0"/>
          <c:dLbls>
            <c:spPr>
              <a:noFill/>
              <a:ln>
                <a:noFill/>
              </a:ln>
              <a:effectLst/>
            </c:spPr>
            <c:txPr>
              <a:bodyPr rot="0" vert="horz"/>
              <a:lstStyle/>
              <a:p>
                <a:pPr>
                  <a:defRPr sz="1100" b="1"/>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שמאל</c:v>
                </c:pt>
                <c:pt idx="1">
                  <c:v>מרכז</c:v>
                </c:pt>
                <c:pt idx="2">
                  <c:v>ימין</c:v>
                </c:pt>
              </c:strCache>
            </c:strRef>
          </c:cat>
          <c:val>
            <c:numRef>
              <c:f>גיליון1!$C$2:$C$4</c:f>
              <c:numCache>
                <c:formatCode>General</c:formatCode>
                <c:ptCount val="3"/>
                <c:pt idx="0">
                  <c:v>6</c:v>
                </c:pt>
                <c:pt idx="1">
                  <c:v>22</c:v>
                </c:pt>
                <c:pt idx="2">
                  <c:v>52</c:v>
                </c:pt>
              </c:numCache>
            </c:numRef>
          </c:val>
          <c:extLst>
            <c:ext xmlns:c16="http://schemas.microsoft.com/office/drawing/2014/chart" uri="{C3380CC4-5D6E-409C-BE32-E72D297353CC}">
              <c16:uniqueId val="{00000001-A8D0-49BC-99C0-656849847E9E}"/>
            </c:ext>
          </c:extLst>
        </c:ser>
        <c:ser>
          <c:idx val="2"/>
          <c:order val="2"/>
          <c:tx>
            <c:strRef>
              <c:f>גיליון1!$D$1</c:f>
              <c:strCache>
                <c:ptCount val="1"/>
                <c:pt idx="0">
                  <c:v>שני הצדדים באותה מידה</c:v>
                </c:pt>
              </c:strCache>
            </c:strRef>
          </c:tx>
          <c:spPr>
            <a:solidFill>
              <a:srgbClr val="7030A0"/>
            </a:solidFill>
            <a:ln>
              <a:noFill/>
            </a:ln>
            <a:effectLst/>
          </c:spPr>
          <c:invertIfNegative val="0"/>
          <c:dLbls>
            <c:spPr>
              <a:noFill/>
              <a:ln>
                <a:noFill/>
              </a:ln>
              <a:effectLst/>
            </c:spPr>
            <c:txPr>
              <a:bodyPr rot="0" vert="horz"/>
              <a:lstStyle/>
              <a:p>
                <a:pPr>
                  <a:defRPr sz="1100" b="1"/>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שמאל</c:v>
                </c:pt>
                <c:pt idx="1">
                  <c:v>מרכז</c:v>
                </c:pt>
                <c:pt idx="2">
                  <c:v>ימין</c:v>
                </c:pt>
              </c:strCache>
            </c:strRef>
          </c:cat>
          <c:val>
            <c:numRef>
              <c:f>גיליון1!$D$2:$D$4</c:f>
              <c:numCache>
                <c:formatCode>General</c:formatCode>
                <c:ptCount val="3"/>
                <c:pt idx="0">
                  <c:v>22</c:v>
                </c:pt>
                <c:pt idx="1">
                  <c:v>31</c:v>
                </c:pt>
                <c:pt idx="2">
                  <c:v>24</c:v>
                </c:pt>
              </c:numCache>
            </c:numRef>
          </c:val>
          <c:extLst>
            <c:ext xmlns:c16="http://schemas.microsoft.com/office/drawing/2014/chart" uri="{C3380CC4-5D6E-409C-BE32-E72D297353CC}">
              <c16:uniqueId val="{00000002-A8D0-49BC-99C0-656849847E9E}"/>
            </c:ext>
          </c:extLst>
        </c:ser>
        <c:ser>
          <c:idx val="3"/>
          <c:order val="3"/>
          <c:tx>
            <c:strRef>
              <c:f>גיליון1!$E$1</c:f>
              <c:strCache>
                <c:ptCount val="1"/>
                <c:pt idx="0">
                  <c:v>לא יודעים</c:v>
                </c:pt>
              </c:strCache>
            </c:strRef>
          </c:tx>
          <c:spPr>
            <a:solidFill>
              <a:schemeClr val="bg1">
                <a:lumMod val="50000"/>
              </a:schemeClr>
            </a:solidFill>
            <a:ln>
              <a:noFill/>
            </a:ln>
            <a:effectLst/>
          </c:spPr>
          <c:invertIfNegative val="0"/>
          <c:dLbls>
            <c:spPr>
              <a:noFill/>
              <a:ln>
                <a:noFill/>
              </a:ln>
              <a:effectLst/>
            </c:spPr>
            <c:txPr>
              <a:bodyPr rot="0" vert="horz"/>
              <a:lstStyle/>
              <a:p>
                <a:pPr>
                  <a:defRPr sz="1100" b="1"/>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גיליון1!$A$2:$A$4</c:f>
              <c:strCache>
                <c:ptCount val="3"/>
                <c:pt idx="0">
                  <c:v>שמאל</c:v>
                </c:pt>
                <c:pt idx="1">
                  <c:v>מרכז</c:v>
                </c:pt>
                <c:pt idx="2">
                  <c:v>ימין</c:v>
                </c:pt>
              </c:strCache>
            </c:strRef>
          </c:cat>
          <c:val>
            <c:numRef>
              <c:f>גיליון1!$E$2:$E$4</c:f>
              <c:numCache>
                <c:formatCode>General</c:formatCode>
                <c:ptCount val="3"/>
                <c:pt idx="0">
                  <c:v>5</c:v>
                </c:pt>
                <c:pt idx="1">
                  <c:v>8</c:v>
                </c:pt>
                <c:pt idx="2">
                  <c:v>8</c:v>
                </c:pt>
              </c:numCache>
            </c:numRef>
          </c:val>
          <c:extLst>
            <c:ext xmlns:c16="http://schemas.microsoft.com/office/drawing/2014/chart" uri="{C3380CC4-5D6E-409C-BE32-E72D297353CC}">
              <c16:uniqueId val="{00000003-A8D0-49BC-99C0-656849847E9E}"/>
            </c:ext>
          </c:extLst>
        </c:ser>
        <c:dLbls>
          <c:showLegendKey val="0"/>
          <c:showVal val="0"/>
          <c:showCatName val="0"/>
          <c:showSerName val="0"/>
          <c:showPercent val="0"/>
          <c:showBubbleSize val="0"/>
        </c:dLbls>
        <c:gapWidth val="219"/>
        <c:overlap val="-27"/>
        <c:axId val="364794240"/>
        <c:axId val="364795776"/>
      </c:barChart>
      <c:catAx>
        <c:axId val="36479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he-IL"/>
          </a:p>
        </c:txPr>
        <c:crossAx val="364795776"/>
        <c:crosses val="autoZero"/>
        <c:auto val="1"/>
        <c:lblAlgn val="ctr"/>
        <c:lblOffset val="100"/>
        <c:noMultiLvlLbl val="0"/>
      </c:catAx>
      <c:valAx>
        <c:axId val="3647957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he-IL"/>
          </a:p>
        </c:txPr>
        <c:crossAx val="364794240"/>
        <c:crosses val="autoZero"/>
        <c:crossBetween val="between"/>
        <c:majorUnit val="20"/>
      </c:valAx>
      <c:spPr>
        <a:noFill/>
        <a:ln>
          <a:noFill/>
        </a:ln>
        <a:effectLst/>
      </c:spPr>
    </c:plotArea>
    <c:legend>
      <c:legendPos val="b"/>
      <c:overlay val="0"/>
      <c:spPr>
        <a:noFill/>
        <a:ln>
          <a:noFill/>
        </a:ln>
        <a:effectLst/>
      </c:spPr>
      <c:txPr>
        <a:bodyPr rot="0" vert="horz"/>
        <a:lstStyle/>
        <a:p>
          <a:pPr>
            <a:defRPr/>
          </a:pPr>
          <a:endParaRPr lang="he-I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סידרה 1</c:v>
                </c:pt>
              </c:strCache>
            </c:strRef>
          </c:tx>
          <c:spPr>
            <a:solidFill>
              <a:schemeClr val="accent1"/>
            </a:solidFill>
            <a:ln>
              <a:noFill/>
            </a:ln>
            <a:effectLst/>
          </c:spPr>
          <c:invertIfNegative val="0"/>
          <c:dLbls>
            <c:spPr>
              <a:noFill/>
              <a:ln>
                <a:noFill/>
              </a:ln>
              <a:effectLst/>
            </c:spPr>
            <c:txPr>
              <a:bodyPr rot="0" vert="horz"/>
              <a:lstStyle/>
              <a:p>
                <a:pPr>
                  <a:defRPr sz="1100" b="1">
                    <a:solidFill>
                      <a:schemeClr val="bg1"/>
                    </a:solidFill>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4"/>
                <c:pt idx="0">
                  <c:v>בתחום הכלכלי</c:v>
                </c:pt>
                <c:pt idx="1">
                  <c:v>בתחום המדיני-דיפלומטי</c:v>
                </c:pt>
                <c:pt idx="2">
                  <c:v>בתחום התיירות והנופש</c:v>
                </c:pt>
                <c:pt idx="3">
                  <c:v>בתחום הבטחוני מדיני</c:v>
                </c:pt>
              </c:strCache>
            </c:strRef>
          </c:cat>
          <c:val>
            <c:numRef>
              <c:f>גיליון1!$B$2:$B$5</c:f>
              <c:numCache>
                <c:formatCode>General</c:formatCode>
                <c:ptCount val="4"/>
                <c:pt idx="0">
                  <c:v>79</c:v>
                </c:pt>
                <c:pt idx="1">
                  <c:v>76</c:v>
                </c:pt>
                <c:pt idx="2">
                  <c:v>76</c:v>
                </c:pt>
                <c:pt idx="3">
                  <c:v>53</c:v>
                </c:pt>
              </c:numCache>
            </c:numRef>
          </c:val>
          <c:extLst>
            <c:ext xmlns:c16="http://schemas.microsoft.com/office/drawing/2014/chart" uri="{C3380CC4-5D6E-409C-BE32-E72D297353CC}">
              <c16:uniqueId val="{00000000-8CF7-4A8F-A7B5-59C0E27D2BF5}"/>
            </c:ext>
          </c:extLst>
        </c:ser>
        <c:dLbls>
          <c:dLblPos val="outEnd"/>
          <c:showLegendKey val="0"/>
          <c:showVal val="1"/>
          <c:showCatName val="0"/>
          <c:showSerName val="0"/>
          <c:showPercent val="0"/>
          <c:showBubbleSize val="0"/>
        </c:dLbls>
        <c:gapWidth val="219"/>
        <c:overlap val="-27"/>
        <c:axId val="364900352"/>
        <c:axId val="364903040"/>
      </c:barChart>
      <c:catAx>
        <c:axId val="36490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he-IL"/>
          </a:p>
        </c:txPr>
        <c:crossAx val="364903040"/>
        <c:crosses val="autoZero"/>
        <c:auto val="1"/>
        <c:lblAlgn val="ctr"/>
        <c:lblOffset val="100"/>
        <c:noMultiLvlLbl val="0"/>
      </c:catAx>
      <c:valAx>
        <c:axId val="3649030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he-IL"/>
          </a:p>
        </c:txPr>
        <c:crossAx val="364900352"/>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951777965327949E-2"/>
          <c:y val="3.4025757931638527E-2"/>
          <c:w val="0.88625617910835353"/>
          <c:h val="0.70709758994092842"/>
        </c:manualLayout>
      </c:layout>
      <c:barChart>
        <c:barDir val="col"/>
        <c:grouping val="clustered"/>
        <c:varyColors val="0"/>
        <c:ser>
          <c:idx val="0"/>
          <c:order val="0"/>
          <c:tx>
            <c:strRef>
              <c:f>גיליון1!$A$2</c:f>
              <c:strCache>
                <c:ptCount val="1"/>
                <c:pt idx="0">
                  <c:v>בטוחים או חושבים שיתרום</c:v>
                </c:pt>
              </c:strCache>
            </c:strRef>
          </c:tx>
          <c:spPr>
            <a:solidFill>
              <a:schemeClr val="accent1"/>
            </a:solidFill>
            <a:ln>
              <a:noFill/>
            </a:ln>
            <a:effectLst/>
          </c:spPr>
          <c:invertIfNegative val="0"/>
          <c:dLbls>
            <c:spPr>
              <a:noFill/>
              <a:ln>
                <a:noFill/>
              </a:ln>
              <a:effectLst/>
            </c:spPr>
            <c:txPr>
              <a:bodyPr rot="0" vert="horz"/>
              <a:lstStyle/>
              <a:p>
                <a:pPr>
                  <a:defRPr sz="1100" b="1"/>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יהודים</c:v>
                </c:pt>
                <c:pt idx="1">
                  <c:v>ערבים</c:v>
                </c:pt>
              </c:strCache>
            </c:strRef>
          </c:cat>
          <c:val>
            <c:numRef>
              <c:f>גיליון1!$B$2:$C$2</c:f>
              <c:numCache>
                <c:formatCode>General</c:formatCode>
                <c:ptCount val="2"/>
                <c:pt idx="0">
                  <c:v>55</c:v>
                </c:pt>
                <c:pt idx="1">
                  <c:v>33</c:v>
                </c:pt>
              </c:numCache>
            </c:numRef>
          </c:val>
          <c:extLst>
            <c:ext xmlns:c16="http://schemas.microsoft.com/office/drawing/2014/chart" uri="{C3380CC4-5D6E-409C-BE32-E72D297353CC}">
              <c16:uniqueId val="{00000000-3509-4487-8009-812E8D22C4E4}"/>
            </c:ext>
          </c:extLst>
        </c:ser>
        <c:ser>
          <c:idx val="1"/>
          <c:order val="1"/>
          <c:tx>
            <c:strRef>
              <c:f>גיליון1!$A$3</c:f>
              <c:strCache>
                <c:ptCount val="1"/>
                <c:pt idx="0">
                  <c:v>בטוחים או חושבים שיפגע</c:v>
                </c:pt>
              </c:strCache>
            </c:strRef>
          </c:tx>
          <c:spPr>
            <a:solidFill>
              <a:schemeClr val="accent6"/>
            </a:solidFill>
            <a:ln>
              <a:noFill/>
            </a:ln>
            <a:effectLst/>
          </c:spPr>
          <c:invertIfNegative val="0"/>
          <c:dLbls>
            <c:spPr>
              <a:noFill/>
              <a:ln>
                <a:noFill/>
              </a:ln>
              <a:effectLst/>
            </c:spPr>
            <c:txPr>
              <a:bodyPr rot="0" vert="horz"/>
              <a:lstStyle/>
              <a:p>
                <a:pPr>
                  <a:defRPr sz="1100" b="1"/>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יהודים</c:v>
                </c:pt>
                <c:pt idx="1">
                  <c:v>ערבים</c:v>
                </c:pt>
              </c:strCache>
            </c:strRef>
          </c:cat>
          <c:val>
            <c:numRef>
              <c:f>גיליון1!$B$3:$C$3</c:f>
              <c:numCache>
                <c:formatCode>General</c:formatCode>
                <c:ptCount val="2"/>
                <c:pt idx="0">
                  <c:v>22.5</c:v>
                </c:pt>
                <c:pt idx="1">
                  <c:v>37</c:v>
                </c:pt>
              </c:numCache>
            </c:numRef>
          </c:val>
          <c:extLst>
            <c:ext xmlns:c16="http://schemas.microsoft.com/office/drawing/2014/chart" uri="{C3380CC4-5D6E-409C-BE32-E72D297353CC}">
              <c16:uniqueId val="{00000001-3509-4487-8009-812E8D22C4E4}"/>
            </c:ext>
          </c:extLst>
        </c:ser>
        <c:ser>
          <c:idx val="2"/>
          <c:order val="2"/>
          <c:tx>
            <c:strRef>
              <c:f>גיליון1!$A$4</c:f>
              <c:strCache>
                <c:ptCount val="1"/>
                <c:pt idx="0">
                  <c:v>לא יודעים</c:v>
                </c:pt>
              </c:strCache>
            </c:strRef>
          </c:tx>
          <c:spPr>
            <a:solidFill>
              <a:schemeClr val="accent3"/>
            </a:solidFill>
            <a:ln>
              <a:noFill/>
            </a:ln>
            <a:effectLst/>
          </c:spPr>
          <c:invertIfNegative val="0"/>
          <c:dLbls>
            <c:spPr>
              <a:noFill/>
              <a:ln>
                <a:noFill/>
              </a:ln>
              <a:effectLst/>
            </c:spPr>
            <c:txPr>
              <a:bodyPr rot="0" vert="horz"/>
              <a:lstStyle/>
              <a:p>
                <a:pPr>
                  <a:defRPr sz="1100" b="1"/>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גיליון1!$B$1:$C$1</c:f>
              <c:strCache>
                <c:ptCount val="2"/>
                <c:pt idx="0">
                  <c:v>יהודים</c:v>
                </c:pt>
                <c:pt idx="1">
                  <c:v>ערבים</c:v>
                </c:pt>
              </c:strCache>
            </c:strRef>
          </c:cat>
          <c:val>
            <c:numRef>
              <c:f>גיליון1!$B$4:$C$4</c:f>
              <c:numCache>
                <c:formatCode>General</c:formatCode>
                <c:ptCount val="2"/>
                <c:pt idx="0">
                  <c:v>23</c:v>
                </c:pt>
                <c:pt idx="1">
                  <c:v>30</c:v>
                </c:pt>
              </c:numCache>
            </c:numRef>
          </c:val>
          <c:extLst>
            <c:ext xmlns:c16="http://schemas.microsoft.com/office/drawing/2014/chart" uri="{C3380CC4-5D6E-409C-BE32-E72D297353CC}">
              <c16:uniqueId val="{00000003-3509-4487-8009-812E8D22C4E4}"/>
            </c:ext>
          </c:extLst>
        </c:ser>
        <c:dLbls>
          <c:dLblPos val="outEnd"/>
          <c:showLegendKey val="0"/>
          <c:showVal val="1"/>
          <c:showCatName val="0"/>
          <c:showSerName val="0"/>
          <c:showPercent val="0"/>
          <c:showBubbleSize val="0"/>
        </c:dLbls>
        <c:gapWidth val="219"/>
        <c:overlap val="-27"/>
        <c:axId val="364947712"/>
        <c:axId val="191234048"/>
      </c:barChart>
      <c:catAx>
        <c:axId val="36494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he-IL"/>
          </a:p>
        </c:txPr>
        <c:crossAx val="191234048"/>
        <c:crosses val="autoZero"/>
        <c:auto val="1"/>
        <c:lblAlgn val="ctr"/>
        <c:lblOffset val="100"/>
        <c:noMultiLvlLbl val="0"/>
      </c:catAx>
      <c:valAx>
        <c:axId val="1912340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he-IL"/>
          </a:p>
        </c:txPr>
        <c:crossAx val="364947712"/>
        <c:crosses val="autoZero"/>
        <c:crossBetween val="between"/>
        <c:majorUnit val="20"/>
      </c:valAx>
      <c:spPr>
        <a:noFill/>
        <a:ln>
          <a:noFill/>
        </a:ln>
        <a:effectLst/>
      </c:spPr>
    </c:plotArea>
    <c:legend>
      <c:legendPos val="b"/>
      <c:overlay val="0"/>
      <c:spPr>
        <a:noFill/>
        <a:ln>
          <a:noFill/>
        </a:ln>
        <a:effectLst/>
      </c:spPr>
      <c:txPr>
        <a:bodyPr rot="0" vert="horz"/>
        <a:lstStyle/>
        <a:p>
          <a:pPr>
            <a:defRPr/>
          </a:pPr>
          <a:endParaRPr lang="he-I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he-I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2.1103091280256631E-2"/>
          <c:y val="2.2817460317460316E-2"/>
          <c:w val="0.7908158355205599"/>
          <c:h val="0.93849206349206349"/>
        </c:manualLayout>
      </c:layout>
      <c:pie3DChart>
        <c:varyColors val="1"/>
        <c:ser>
          <c:idx val="0"/>
          <c:order val="0"/>
          <c:tx>
            <c:strRef>
              <c:f>גיליון1!$B$1</c:f>
              <c:strCache>
                <c:ptCount val="1"/>
                <c:pt idx="0">
                  <c:v>מכירות</c:v>
                </c:pt>
              </c:strCache>
            </c:strRef>
          </c:tx>
          <c:dPt>
            <c:idx val="0"/>
            <c:bubble3D val="0"/>
            <c:spPr>
              <a:solidFill>
                <a:schemeClr val="accent5"/>
              </a:solidFill>
              <a:ln>
                <a:solidFill>
                  <a:schemeClr val="accent5"/>
                </a:solidFill>
              </a:ln>
            </c:spPr>
            <c:extLst>
              <c:ext xmlns:c16="http://schemas.microsoft.com/office/drawing/2014/chart" uri="{C3380CC4-5D6E-409C-BE32-E72D297353CC}">
                <c16:uniqueId val="{00000001-A20F-42E3-BA6E-BB21956621AF}"/>
              </c:ext>
            </c:extLst>
          </c:dPt>
          <c:dPt>
            <c:idx val="1"/>
            <c:bubble3D val="0"/>
            <c:spPr>
              <a:solidFill>
                <a:schemeClr val="accent5">
                  <a:lumMod val="40000"/>
                  <a:lumOff val="60000"/>
                </a:schemeClr>
              </a:solidFill>
            </c:spPr>
            <c:extLst>
              <c:ext xmlns:c16="http://schemas.microsoft.com/office/drawing/2014/chart" uri="{C3380CC4-5D6E-409C-BE32-E72D297353CC}">
                <c16:uniqueId val="{00000003-A20F-42E3-BA6E-BB21956621AF}"/>
              </c:ext>
            </c:extLst>
          </c:dPt>
          <c:dPt>
            <c:idx val="2"/>
            <c:bubble3D val="0"/>
            <c:spPr>
              <a:solidFill>
                <a:schemeClr val="accent6">
                  <a:lumMod val="60000"/>
                  <a:lumOff val="40000"/>
                </a:schemeClr>
              </a:solidFill>
            </c:spPr>
            <c:extLst>
              <c:ext xmlns:c16="http://schemas.microsoft.com/office/drawing/2014/chart" uri="{C3380CC4-5D6E-409C-BE32-E72D297353CC}">
                <c16:uniqueId val="{00000005-A20F-42E3-BA6E-BB21956621AF}"/>
              </c:ext>
            </c:extLst>
          </c:dPt>
          <c:dPt>
            <c:idx val="3"/>
            <c:bubble3D val="0"/>
            <c:spPr>
              <a:solidFill>
                <a:schemeClr val="accent6"/>
              </a:solidFill>
            </c:spPr>
            <c:extLst>
              <c:ext xmlns:c16="http://schemas.microsoft.com/office/drawing/2014/chart" uri="{C3380CC4-5D6E-409C-BE32-E72D297353CC}">
                <c16:uniqueId val="{00000007-A20F-42E3-BA6E-BB21956621AF}"/>
              </c:ext>
            </c:extLst>
          </c:dPt>
          <c:dPt>
            <c:idx val="4"/>
            <c:bubble3D val="0"/>
            <c:spPr>
              <a:solidFill>
                <a:schemeClr val="bg1">
                  <a:lumMod val="75000"/>
                </a:schemeClr>
              </a:solidFill>
            </c:spPr>
            <c:extLst>
              <c:ext xmlns:c16="http://schemas.microsoft.com/office/drawing/2014/chart" uri="{C3380CC4-5D6E-409C-BE32-E72D297353CC}">
                <c16:uniqueId val="{00000009-A20F-42E3-BA6E-BB21956621AF}"/>
              </c:ext>
            </c:extLst>
          </c:dPt>
          <c:dLbls>
            <c:spPr>
              <a:noFill/>
              <a:ln>
                <a:noFill/>
              </a:ln>
              <a:effectLst/>
            </c:spPr>
            <c:txPr>
              <a:bodyPr/>
              <a:lstStyle/>
              <a:p>
                <a:pPr>
                  <a:defRPr sz="1100" b="1">
                    <a:solidFill>
                      <a:schemeClr val="bg1"/>
                    </a:solidFill>
                  </a:defRPr>
                </a:pPr>
                <a:endParaRPr lang="he-IL"/>
              </a:p>
            </c:txPr>
            <c:showLegendKey val="0"/>
            <c:showVal val="1"/>
            <c:showCatName val="0"/>
            <c:showSerName val="0"/>
            <c:showPercent val="0"/>
            <c:showBubbleSize val="0"/>
            <c:showLeaderLines val="1"/>
            <c:extLst>
              <c:ext xmlns:c15="http://schemas.microsoft.com/office/drawing/2012/chart" uri="{CE6537A1-D6FC-4f65-9D91-7224C49458BB}"/>
            </c:extLst>
          </c:dLbls>
          <c:cat>
            <c:strRef>
              <c:f>גיליון1!$A$2:$A$6</c:f>
              <c:strCache>
                <c:ptCount val="5"/>
                <c:pt idx="0">
                  <c:v> מאוד אופטימי</c:v>
                </c:pt>
                <c:pt idx="1">
                  <c:v> די אופטימי</c:v>
                </c:pt>
                <c:pt idx="2">
                  <c:v> די פסימי</c:v>
                </c:pt>
                <c:pt idx="3">
                  <c:v> מאוד פסימי</c:v>
                </c:pt>
                <c:pt idx="4">
                  <c:v>לא יודעים</c:v>
                </c:pt>
              </c:strCache>
            </c:strRef>
          </c:cat>
          <c:val>
            <c:numRef>
              <c:f>גיליון1!$B$2:$B$6</c:f>
              <c:numCache>
                <c:formatCode>General</c:formatCode>
                <c:ptCount val="5"/>
                <c:pt idx="0">
                  <c:v>4</c:v>
                </c:pt>
                <c:pt idx="1">
                  <c:v>21.5</c:v>
                </c:pt>
                <c:pt idx="2">
                  <c:v>44</c:v>
                </c:pt>
                <c:pt idx="3">
                  <c:v>22.5</c:v>
                </c:pt>
                <c:pt idx="4">
                  <c:v>8</c:v>
                </c:pt>
              </c:numCache>
            </c:numRef>
          </c:val>
          <c:extLst>
            <c:ext xmlns:c16="http://schemas.microsoft.com/office/drawing/2014/chart" uri="{C3380CC4-5D6E-409C-BE32-E72D297353CC}">
              <c16:uniqueId val="{0000000A-A20F-42E3-BA6E-BB21956621AF}"/>
            </c:ext>
          </c:extLst>
        </c:ser>
        <c:dLbls>
          <c:showLegendKey val="0"/>
          <c:showVal val="0"/>
          <c:showCatName val="0"/>
          <c:showSerName val="0"/>
          <c:showPercent val="0"/>
          <c:showBubbleSize val="0"/>
          <c:showLeaderLines val="1"/>
        </c:dLbls>
      </c:pie3DChart>
    </c:plotArea>
    <c:legend>
      <c:legendPos val="r"/>
      <c:layout>
        <c:manualLayout>
          <c:xMode val="edge"/>
          <c:yMode val="edge"/>
          <c:x val="0.81218868474773986"/>
          <c:y val="0.45155824271966005"/>
          <c:w val="0.18675595647631424"/>
          <c:h val="0.44320866141732285"/>
        </c:manualLayout>
      </c:layout>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E260-E6BB-4BA8-B9A7-F5F7DD30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1758</Words>
  <Characters>8794</Characters>
  <Application>Microsoft Office Word</Application>
  <DocSecurity>4</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מדד הקול הישראלי | אוגוסט 2020</dc:title>
  <dc:creator>המכון הישראלי לדמוקרטיה</dc:creator>
  <cp:lastModifiedBy>Liron Daniel</cp:lastModifiedBy>
  <cp:revision>2</cp:revision>
  <cp:lastPrinted>2020-07-02T06:56:00Z</cp:lastPrinted>
  <dcterms:created xsi:type="dcterms:W3CDTF">2020-09-07T12:41:00Z</dcterms:created>
  <dcterms:modified xsi:type="dcterms:W3CDTF">2020-09-07T12:41:00Z</dcterms:modified>
</cp:coreProperties>
</file>