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42C4" w14:textId="3FD20152" w:rsidR="000E274C" w:rsidRDefault="00592610" w:rsidP="00592610">
      <w:pPr>
        <w:bidi w:val="0"/>
        <w:jc w:val="center"/>
        <w:rPr>
          <w:b/>
          <w:bCs/>
        </w:rPr>
      </w:pPr>
      <w:r>
        <w:rPr>
          <w:b/>
          <w:bCs/>
        </w:rPr>
        <w:t>Press Release</w:t>
      </w:r>
    </w:p>
    <w:p w14:paraId="718C7418" w14:textId="647448FA" w:rsidR="00592610" w:rsidRDefault="009F2FB3" w:rsidP="00362F7C">
      <w:pPr>
        <w:bidi w:val="0"/>
        <w:jc w:val="center"/>
        <w:rPr>
          <w:b/>
          <w:bCs/>
        </w:rPr>
      </w:pPr>
      <w:r>
        <w:rPr>
          <w:b/>
          <w:bCs/>
        </w:rPr>
        <w:t>January 2024</w:t>
      </w:r>
      <w:r w:rsidR="00592610">
        <w:rPr>
          <w:b/>
          <w:bCs/>
        </w:rPr>
        <w:t xml:space="preserve"> Israel</w:t>
      </w:r>
      <w:r w:rsidR="00CA27C2">
        <w:rPr>
          <w:b/>
          <w:bCs/>
        </w:rPr>
        <w:t>i</w:t>
      </w:r>
      <w:r w:rsidR="00592610">
        <w:rPr>
          <w:b/>
          <w:bCs/>
        </w:rPr>
        <w:t xml:space="preserve"> Voice Index</w:t>
      </w:r>
      <w:r w:rsidR="00362F7C">
        <w:rPr>
          <w:b/>
          <w:bCs/>
        </w:rPr>
        <w:br/>
      </w:r>
      <w:r w:rsidR="00592610">
        <w:rPr>
          <w:b/>
          <w:bCs/>
        </w:rPr>
        <w:t xml:space="preserve">War in Gaza Survey </w:t>
      </w:r>
      <w:r>
        <w:rPr>
          <w:b/>
          <w:bCs/>
        </w:rPr>
        <w:t>10</w:t>
      </w:r>
    </w:p>
    <w:p w14:paraId="1815511F" w14:textId="53CABBF2" w:rsidR="00592610" w:rsidRDefault="00DA796D" w:rsidP="00592610">
      <w:pPr>
        <w:bidi w:val="0"/>
        <w:rPr>
          <w:b/>
          <w:bCs/>
          <w:sz w:val="32"/>
          <w:szCs w:val="32"/>
        </w:rPr>
      </w:pPr>
      <w:r>
        <w:rPr>
          <w:b/>
          <w:bCs/>
          <w:sz w:val="32"/>
          <w:szCs w:val="32"/>
        </w:rPr>
        <w:t>Most Israelis Prioritize Hostage Release Over Toppling Hamas</w:t>
      </w:r>
      <w:r w:rsidR="00635DB1">
        <w:rPr>
          <w:b/>
          <w:bCs/>
          <w:sz w:val="32"/>
          <w:szCs w:val="32"/>
        </w:rPr>
        <w:t xml:space="preserve"> | Large Majority Wants Early Elections </w:t>
      </w:r>
    </w:p>
    <w:p w14:paraId="6F649ABE" w14:textId="6269C789" w:rsidR="00BF49BF" w:rsidRDefault="00493AFB" w:rsidP="00BF49BF">
      <w:pPr>
        <w:bidi w:val="0"/>
        <w:rPr>
          <w:i/>
          <w:iCs/>
          <w:sz w:val="24"/>
          <w:szCs w:val="24"/>
        </w:rPr>
      </w:pPr>
      <w:r>
        <w:rPr>
          <w:i/>
          <w:iCs/>
          <w:sz w:val="24"/>
          <w:szCs w:val="24"/>
        </w:rPr>
        <w:t xml:space="preserve">When asked to choose, </w:t>
      </w:r>
      <w:r w:rsidR="00DA796D">
        <w:rPr>
          <w:i/>
          <w:iCs/>
          <w:sz w:val="24"/>
          <w:szCs w:val="24"/>
        </w:rPr>
        <w:t>51% of Israelis said they think bringing the hostages home should be the main goal of the war; 36% say toppling Hamas should be the main goal</w:t>
      </w:r>
      <w:r w:rsidR="008B3DC1">
        <w:rPr>
          <w:i/>
          <w:iCs/>
          <w:sz w:val="24"/>
          <w:szCs w:val="24"/>
        </w:rPr>
        <w:t xml:space="preserve">; </w:t>
      </w:r>
      <w:r w:rsidR="00DA796D">
        <w:rPr>
          <w:i/>
          <w:iCs/>
          <w:sz w:val="24"/>
          <w:szCs w:val="24"/>
        </w:rPr>
        <w:t>13% say they don't know</w:t>
      </w:r>
      <w:r w:rsidR="0027591C">
        <w:rPr>
          <w:i/>
          <w:iCs/>
          <w:sz w:val="24"/>
          <w:szCs w:val="24"/>
        </w:rPr>
        <w:t xml:space="preserve">. There are large divides by population </w:t>
      </w:r>
      <w:r w:rsidR="00990050">
        <w:rPr>
          <w:i/>
          <w:iCs/>
          <w:sz w:val="24"/>
          <w:szCs w:val="24"/>
        </w:rPr>
        <w:t>sectors</w:t>
      </w:r>
      <w:r w:rsidR="0027591C">
        <w:rPr>
          <w:i/>
          <w:iCs/>
          <w:sz w:val="24"/>
          <w:szCs w:val="24"/>
        </w:rPr>
        <w:t xml:space="preserve">. </w:t>
      </w:r>
    </w:p>
    <w:p w14:paraId="4A04181B" w14:textId="0283DE56" w:rsidR="00DA796D" w:rsidRDefault="00493AFB" w:rsidP="00A532B3">
      <w:pPr>
        <w:bidi w:val="0"/>
        <w:rPr>
          <w:sz w:val="24"/>
          <w:szCs w:val="24"/>
        </w:rPr>
      </w:pPr>
      <w:r>
        <w:rPr>
          <w:sz w:val="24"/>
          <w:szCs w:val="24"/>
        </w:rPr>
        <w:t>In our January 2024 Israel</w:t>
      </w:r>
      <w:r w:rsidR="00D32F43">
        <w:rPr>
          <w:sz w:val="24"/>
          <w:szCs w:val="24"/>
        </w:rPr>
        <w:t>i</w:t>
      </w:r>
      <w:r>
        <w:rPr>
          <w:sz w:val="24"/>
          <w:szCs w:val="24"/>
        </w:rPr>
        <w:t xml:space="preserve"> Voice Index—conducted by our </w:t>
      </w:r>
      <w:r w:rsidRPr="00DA796D">
        <w:rPr>
          <w:sz w:val="24"/>
          <w:szCs w:val="24"/>
        </w:rPr>
        <w:t>Viterbi Family Center for Public Opinion and Policy Research</w:t>
      </w:r>
      <w:r>
        <w:rPr>
          <w:sz w:val="24"/>
          <w:szCs w:val="24"/>
        </w:rPr>
        <w:t xml:space="preserve">—we asked: </w:t>
      </w:r>
      <w:r w:rsidRPr="00493AFB">
        <w:rPr>
          <w:sz w:val="24"/>
          <w:szCs w:val="24"/>
        </w:rPr>
        <w:t xml:space="preserve">“Recently, it has been argued that there is a contradiction between Israel’s two war goals—toppling Hamas and bringing the </w:t>
      </w:r>
      <w:proofErr w:type="gramStart"/>
      <w:r w:rsidRPr="00493AFB">
        <w:rPr>
          <w:sz w:val="24"/>
          <w:szCs w:val="24"/>
        </w:rPr>
        <w:t>hostages</w:t>
      </w:r>
      <w:proofErr w:type="gramEnd"/>
      <w:r w:rsidRPr="00493AFB">
        <w:rPr>
          <w:sz w:val="24"/>
          <w:szCs w:val="24"/>
        </w:rPr>
        <w:t xml:space="preserve"> home. In your opinion, which of the two should be Israel’s main goal today?”</w:t>
      </w:r>
      <w:r w:rsidR="0027591C">
        <w:rPr>
          <w:sz w:val="24"/>
          <w:szCs w:val="24"/>
        </w:rPr>
        <w:t xml:space="preserve"> </w:t>
      </w:r>
      <w:r w:rsidR="00DA796D">
        <w:rPr>
          <w:sz w:val="24"/>
          <w:szCs w:val="24"/>
        </w:rPr>
        <w:t xml:space="preserve">Jewish Israelis are fairly split on the matter, with 47% </w:t>
      </w:r>
      <w:r w:rsidR="004E0C69">
        <w:rPr>
          <w:sz w:val="24"/>
          <w:szCs w:val="24"/>
        </w:rPr>
        <w:t xml:space="preserve">saying bringing home the hostages should be the main goal and 42% saying the same of toppling Hamas. Among Arab Israelis, 69% say bringing the hostages home should be the main goal, versus a tiny minority (8%) who prioritize toppling Hamas. A sizeable 23% of Arab Israelis say they don't know. </w:t>
      </w:r>
    </w:p>
    <w:p w14:paraId="300B59AF" w14:textId="5C208B17" w:rsidR="00A532B3" w:rsidRDefault="0027591C" w:rsidP="0027591C">
      <w:pPr>
        <w:bidi w:val="0"/>
        <w:rPr>
          <w:sz w:val="24"/>
          <w:szCs w:val="24"/>
          <w:rtl/>
        </w:rPr>
      </w:pPr>
      <w:r>
        <w:rPr>
          <w:sz w:val="24"/>
          <w:szCs w:val="24"/>
        </w:rPr>
        <w:t>Israelis are divided</w:t>
      </w:r>
      <w:r w:rsidR="00635DB1">
        <w:rPr>
          <w:sz w:val="24"/>
          <w:szCs w:val="24"/>
        </w:rPr>
        <w:t xml:space="preserve"> on this question by political </w:t>
      </w:r>
      <w:r w:rsidR="00493AFB">
        <w:rPr>
          <w:sz w:val="24"/>
          <w:szCs w:val="24"/>
        </w:rPr>
        <w:t>orientation</w:t>
      </w:r>
      <w:r w:rsidR="00635DB1">
        <w:rPr>
          <w:sz w:val="24"/>
          <w:szCs w:val="24"/>
        </w:rPr>
        <w:t xml:space="preserve"> </w:t>
      </w:r>
      <w:r w:rsidR="009D7A57">
        <w:rPr>
          <w:sz w:val="24"/>
          <w:szCs w:val="24"/>
        </w:rPr>
        <w:t xml:space="preserve">with voters </w:t>
      </w:r>
      <w:r w:rsidR="00493AFB">
        <w:rPr>
          <w:sz w:val="24"/>
          <w:szCs w:val="24"/>
        </w:rPr>
        <w:t>for pre-war coalition parties</w:t>
      </w:r>
      <w:r w:rsidR="009D7A57">
        <w:rPr>
          <w:sz w:val="24"/>
          <w:szCs w:val="24"/>
        </w:rPr>
        <w:t xml:space="preserve"> prioritizing toppling Hamas, while voters for the pre-war opposition</w:t>
      </w:r>
      <w:r w:rsidR="00493AFB">
        <w:rPr>
          <w:sz w:val="24"/>
          <w:szCs w:val="24"/>
        </w:rPr>
        <w:t xml:space="preserve"> parties</w:t>
      </w:r>
      <w:r w:rsidR="009D7A57">
        <w:rPr>
          <w:sz w:val="24"/>
          <w:szCs w:val="24"/>
        </w:rPr>
        <w:t xml:space="preserve"> mostly support releasing the hostages as the top priority. </w:t>
      </w:r>
      <w:r w:rsidR="00A532B3">
        <w:rPr>
          <w:sz w:val="24"/>
          <w:szCs w:val="24"/>
        </w:rPr>
        <w:t>Among Jewish Israelis, prioritization of the hostages over toppling Hamas is higher among women (53%) than among men (40%)</w:t>
      </w:r>
      <w:r>
        <w:rPr>
          <w:sz w:val="24"/>
          <w:szCs w:val="24"/>
        </w:rPr>
        <w:t>.</w:t>
      </w:r>
    </w:p>
    <w:p w14:paraId="7613F3DF" w14:textId="3F3711BF" w:rsidR="004E0C69" w:rsidRDefault="004E0C69" w:rsidP="004E0C69">
      <w:pPr>
        <w:bidi w:val="0"/>
        <w:rPr>
          <w:b/>
          <w:bCs/>
          <w:sz w:val="24"/>
          <w:szCs w:val="24"/>
        </w:rPr>
      </w:pPr>
      <w:r>
        <w:rPr>
          <w:b/>
          <w:bCs/>
          <w:sz w:val="24"/>
          <w:szCs w:val="24"/>
        </w:rPr>
        <w:t>Additional Findings</w:t>
      </w:r>
      <w:r w:rsidR="00A532B3">
        <w:rPr>
          <w:b/>
          <w:bCs/>
          <w:sz w:val="24"/>
          <w:szCs w:val="24"/>
        </w:rPr>
        <w:t>:</w:t>
      </w:r>
    </w:p>
    <w:p w14:paraId="10A90691" w14:textId="067DAC6E" w:rsidR="0027591C" w:rsidRDefault="0027591C" w:rsidP="0027591C">
      <w:pPr>
        <w:bidi w:val="0"/>
        <w:rPr>
          <w:b/>
          <w:bCs/>
          <w:color w:val="4472C4" w:themeColor="accent1"/>
          <w:sz w:val="24"/>
          <w:szCs w:val="24"/>
          <w:rtl/>
        </w:rPr>
      </w:pPr>
      <w:r>
        <w:rPr>
          <w:b/>
          <w:bCs/>
          <w:color w:val="4472C4" w:themeColor="accent1"/>
          <w:sz w:val="24"/>
          <w:szCs w:val="24"/>
        </w:rPr>
        <w:t xml:space="preserve">Most Israelis oppose the establishment of a Palestinian State even as part of a </w:t>
      </w:r>
      <w:r w:rsidR="00990050">
        <w:rPr>
          <w:b/>
          <w:bCs/>
          <w:color w:val="4472C4" w:themeColor="accent1"/>
          <w:sz w:val="24"/>
          <w:szCs w:val="24"/>
        </w:rPr>
        <w:t xml:space="preserve">normalization </w:t>
      </w:r>
      <w:r>
        <w:rPr>
          <w:b/>
          <w:bCs/>
          <w:color w:val="4472C4" w:themeColor="accent1"/>
          <w:sz w:val="24"/>
          <w:szCs w:val="24"/>
        </w:rPr>
        <w:t>deal with Saudi Arabi</w:t>
      </w:r>
    </w:p>
    <w:p w14:paraId="62E54586" w14:textId="1A15D9B7" w:rsidR="0027591C" w:rsidRPr="0027591C" w:rsidRDefault="0027591C" w:rsidP="0027591C">
      <w:pPr>
        <w:bidi w:val="0"/>
        <w:rPr>
          <w:sz w:val="24"/>
          <w:szCs w:val="24"/>
        </w:rPr>
      </w:pPr>
      <w:r w:rsidRPr="00EA38EE">
        <w:rPr>
          <w:sz w:val="24"/>
          <w:szCs w:val="24"/>
        </w:rPr>
        <w:t>We asked: “Do you support or oppose the notion that as part of a deal to end the war—which will include long-term military quiet, guarantees from the United States, and a</w:t>
      </w:r>
      <w:r w:rsidR="00990050">
        <w:rPr>
          <w:sz w:val="24"/>
          <w:szCs w:val="24"/>
        </w:rPr>
        <w:t>n</w:t>
      </w:r>
      <w:r w:rsidRPr="00EA38EE">
        <w:rPr>
          <w:sz w:val="24"/>
          <w:szCs w:val="24"/>
        </w:rPr>
        <w:t xml:space="preserve"> agreement with Arab states such as Saudi Arabia—Israel should agree to the establishment of a Palestinian state?”</w:t>
      </w:r>
      <w:r>
        <w:rPr>
          <w:sz w:val="24"/>
          <w:szCs w:val="24"/>
        </w:rPr>
        <w:t xml:space="preserve"> 51% of Israelis </w:t>
      </w:r>
      <w:r>
        <w:rPr>
          <w:sz w:val="24"/>
          <w:szCs w:val="24"/>
        </w:rPr>
        <w:t xml:space="preserve">oppose this proposal, compared to 36% who support. </w:t>
      </w:r>
      <w:r w:rsidRPr="00EA38EE">
        <w:rPr>
          <w:sz w:val="24"/>
          <w:szCs w:val="24"/>
        </w:rPr>
        <w:t xml:space="preserve">A breakdown by nationality reveals that </w:t>
      </w:r>
      <w:proofErr w:type="gramStart"/>
      <w:r w:rsidRPr="00EA38EE">
        <w:rPr>
          <w:sz w:val="24"/>
          <w:szCs w:val="24"/>
        </w:rPr>
        <w:t>a majority of</w:t>
      </w:r>
      <w:proofErr w:type="gramEnd"/>
      <w:r w:rsidRPr="00EA38EE">
        <w:rPr>
          <w:sz w:val="24"/>
          <w:szCs w:val="24"/>
        </w:rPr>
        <w:t xml:space="preserve"> </w:t>
      </w:r>
      <w:r w:rsidR="00990050" w:rsidRPr="00EA38EE">
        <w:rPr>
          <w:sz w:val="24"/>
          <w:szCs w:val="24"/>
        </w:rPr>
        <w:t>Jew</w:t>
      </w:r>
      <w:r w:rsidR="00990050">
        <w:rPr>
          <w:sz w:val="24"/>
          <w:szCs w:val="24"/>
        </w:rPr>
        <w:t>ish Israelis</w:t>
      </w:r>
      <w:r w:rsidR="00990050" w:rsidRPr="00EA38EE">
        <w:rPr>
          <w:sz w:val="24"/>
          <w:szCs w:val="24"/>
        </w:rPr>
        <w:t xml:space="preserve"> </w:t>
      </w:r>
      <w:r w:rsidRPr="00EA38EE">
        <w:rPr>
          <w:sz w:val="24"/>
          <w:szCs w:val="24"/>
        </w:rPr>
        <w:t xml:space="preserve">are opposed (59%, versus </w:t>
      </w:r>
      <w:r w:rsidRPr="00EA38EE">
        <w:rPr>
          <w:sz w:val="24"/>
          <w:szCs w:val="24"/>
        </w:rPr>
        <w:t xml:space="preserve">29% who are in favor), while among Arab </w:t>
      </w:r>
      <w:r>
        <w:rPr>
          <w:sz w:val="24"/>
          <w:szCs w:val="24"/>
        </w:rPr>
        <w:t>Israelis</w:t>
      </w:r>
      <w:r w:rsidRPr="00EA38EE">
        <w:rPr>
          <w:sz w:val="24"/>
          <w:szCs w:val="24"/>
        </w:rPr>
        <w:t xml:space="preserve"> the picture is reversed (69% support and </w:t>
      </w:r>
      <w:r w:rsidR="00990050">
        <w:rPr>
          <w:sz w:val="24"/>
          <w:szCs w:val="24"/>
        </w:rPr>
        <w:t xml:space="preserve">only </w:t>
      </w:r>
      <w:r w:rsidRPr="00EA38EE">
        <w:rPr>
          <w:sz w:val="24"/>
          <w:szCs w:val="24"/>
        </w:rPr>
        <w:t>10% opposed).</w:t>
      </w:r>
    </w:p>
    <w:p w14:paraId="0265CB46" w14:textId="5B262EFB" w:rsidR="005B2489" w:rsidRDefault="0027591C" w:rsidP="0027591C">
      <w:pPr>
        <w:bidi w:val="0"/>
        <w:rPr>
          <w:b/>
          <w:bCs/>
          <w:color w:val="4472C4" w:themeColor="accent1"/>
          <w:sz w:val="24"/>
          <w:szCs w:val="24"/>
        </w:rPr>
      </w:pPr>
      <w:r>
        <w:rPr>
          <w:b/>
          <w:bCs/>
          <w:color w:val="4472C4" w:themeColor="accent1"/>
          <w:sz w:val="24"/>
          <w:szCs w:val="24"/>
        </w:rPr>
        <w:t>The</w:t>
      </w:r>
      <w:r w:rsidR="005B2489">
        <w:rPr>
          <w:b/>
          <w:bCs/>
          <w:color w:val="4472C4" w:themeColor="accent1"/>
          <w:sz w:val="24"/>
          <w:szCs w:val="24"/>
        </w:rPr>
        <w:t xml:space="preserve"> overwhelming majority of Israelis want </w:t>
      </w:r>
      <w:r>
        <w:rPr>
          <w:b/>
          <w:bCs/>
          <w:color w:val="4472C4" w:themeColor="accent1"/>
          <w:sz w:val="24"/>
          <w:szCs w:val="24"/>
        </w:rPr>
        <w:t xml:space="preserve">early </w:t>
      </w:r>
      <w:proofErr w:type="gramStart"/>
      <w:r>
        <w:rPr>
          <w:b/>
          <w:bCs/>
          <w:color w:val="4472C4" w:themeColor="accent1"/>
          <w:sz w:val="24"/>
          <w:szCs w:val="24"/>
        </w:rPr>
        <w:t>elections</w:t>
      </w:r>
      <w:proofErr w:type="gramEnd"/>
    </w:p>
    <w:p w14:paraId="647A501D" w14:textId="70206025" w:rsidR="005B2489" w:rsidRDefault="005B2489" w:rsidP="005B2489">
      <w:pPr>
        <w:bidi w:val="0"/>
        <w:rPr>
          <w:sz w:val="24"/>
          <w:szCs w:val="24"/>
        </w:rPr>
      </w:pPr>
      <w:r w:rsidRPr="005B2489">
        <w:rPr>
          <w:sz w:val="24"/>
          <w:szCs w:val="24"/>
        </w:rPr>
        <w:t xml:space="preserve">Only a minority of </w:t>
      </w:r>
      <w:r>
        <w:rPr>
          <w:sz w:val="24"/>
          <w:szCs w:val="24"/>
        </w:rPr>
        <w:t>Israelis</w:t>
      </w:r>
      <w:r w:rsidR="00990050">
        <w:rPr>
          <w:sz w:val="24"/>
          <w:szCs w:val="24"/>
        </w:rPr>
        <w:t xml:space="preserve"> (21.5%)</w:t>
      </w:r>
      <w:r>
        <w:rPr>
          <w:sz w:val="24"/>
          <w:szCs w:val="24"/>
        </w:rPr>
        <w:t xml:space="preserve"> </w:t>
      </w:r>
      <w:r w:rsidRPr="005B2489">
        <w:rPr>
          <w:sz w:val="24"/>
          <w:szCs w:val="24"/>
        </w:rPr>
        <w:t xml:space="preserve">think that the next Knesset elections should be held on their original date, </w:t>
      </w:r>
      <w:r w:rsidR="00990050">
        <w:rPr>
          <w:sz w:val="24"/>
          <w:szCs w:val="24"/>
        </w:rPr>
        <w:t xml:space="preserve">i.e., </w:t>
      </w:r>
      <w:r w:rsidRPr="005B2489">
        <w:rPr>
          <w:sz w:val="24"/>
          <w:szCs w:val="24"/>
        </w:rPr>
        <w:t>in November 2026</w:t>
      </w:r>
      <w:r w:rsidR="00990050">
        <w:rPr>
          <w:sz w:val="24"/>
          <w:szCs w:val="24"/>
        </w:rPr>
        <w:t>.</w:t>
      </w:r>
      <w:r w:rsidR="009D7A57">
        <w:rPr>
          <w:sz w:val="24"/>
          <w:szCs w:val="24"/>
        </w:rPr>
        <w:t xml:space="preserve"> </w:t>
      </w:r>
      <w:r w:rsidRPr="005B2489">
        <w:rPr>
          <w:sz w:val="24"/>
          <w:szCs w:val="24"/>
        </w:rPr>
        <w:t xml:space="preserve">A large majority (71%) </w:t>
      </w:r>
      <w:r w:rsidR="000E6A94">
        <w:rPr>
          <w:sz w:val="24"/>
          <w:szCs w:val="24"/>
        </w:rPr>
        <w:t>think</w:t>
      </w:r>
      <w:r w:rsidR="000E6A94" w:rsidRPr="005B2489">
        <w:rPr>
          <w:sz w:val="24"/>
          <w:szCs w:val="24"/>
        </w:rPr>
        <w:t xml:space="preserve"> </w:t>
      </w:r>
      <w:r w:rsidRPr="005B2489">
        <w:rPr>
          <w:sz w:val="24"/>
          <w:szCs w:val="24"/>
        </w:rPr>
        <w:t xml:space="preserve">that the elections should be </w:t>
      </w:r>
      <w:r>
        <w:rPr>
          <w:sz w:val="24"/>
          <w:szCs w:val="24"/>
        </w:rPr>
        <w:t>called</w:t>
      </w:r>
      <w:r w:rsidR="008B3DC1">
        <w:rPr>
          <w:sz w:val="24"/>
          <w:szCs w:val="24"/>
        </w:rPr>
        <w:t xml:space="preserve"> sooner</w:t>
      </w:r>
      <w:r w:rsidR="00990050">
        <w:rPr>
          <w:sz w:val="24"/>
          <w:szCs w:val="24"/>
        </w:rPr>
        <w:t>:</w:t>
      </w:r>
      <w:r w:rsidRPr="005B2489">
        <w:rPr>
          <w:sz w:val="24"/>
          <w:szCs w:val="24"/>
        </w:rPr>
        <w:t xml:space="preserve"> 38% </w:t>
      </w:r>
      <w:r w:rsidR="00EA38EE">
        <w:rPr>
          <w:sz w:val="24"/>
          <w:szCs w:val="24"/>
        </w:rPr>
        <w:t xml:space="preserve">think </w:t>
      </w:r>
      <w:r w:rsidRPr="005B2489">
        <w:rPr>
          <w:sz w:val="24"/>
          <w:szCs w:val="24"/>
        </w:rPr>
        <w:t>elections should be held when the war ends</w:t>
      </w:r>
      <w:r w:rsidR="00990050">
        <w:rPr>
          <w:sz w:val="24"/>
          <w:szCs w:val="24"/>
        </w:rPr>
        <w:t xml:space="preserve"> while</w:t>
      </w:r>
      <w:r w:rsidRPr="005B2489">
        <w:rPr>
          <w:sz w:val="24"/>
          <w:szCs w:val="24"/>
        </w:rPr>
        <w:t xml:space="preserve"> 33% </w:t>
      </w:r>
      <w:r w:rsidR="00EA38EE">
        <w:rPr>
          <w:sz w:val="24"/>
          <w:szCs w:val="24"/>
        </w:rPr>
        <w:t xml:space="preserve">think </w:t>
      </w:r>
      <w:r w:rsidRPr="005B2489">
        <w:rPr>
          <w:sz w:val="24"/>
          <w:szCs w:val="24"/>
        </w:rPr>
        <w:t>elections should be announced now and then held in around three months’ time, as the law requires in such cases.</w:t>
      </w:r>
      <w:r w:rsidR="00EA38EE">
        <w:rPr>
          <w:sz w:val="24"/>
          <w:szCs w:val="24"/>
        </w:rPr>
        <w:t xml:space="preserve"> As shown in the graph below, responses vary a great deal between Jewish and Arab Israelis, and across the political Left, Center, and Right. </w:t>
      </w:r>
    </w:p>
    <w:p w14:paraId="71DD5F92" w14:textId="77777777" w:rsidR="00EA38EE" w:rsidRPr="003D3C04" w:rsidRDefault="00EA38EE" w:rsidP="00EA38EE">
      <w:pPr>
        <w:bidi w:val="0"/>
        <w:spacing w:after="0" w:line="360" w:lineRule="auto"/>
        <w:jc w:val="both"/>
        <w:rPr>
          <w:rFonts w:asciiTheme="majorBidi" w:hAnsiTheme="majorBidi" w:cstheme="majorBidi"/>
          <w:b/>
          <w:bCs/>
        </w:rPr>
      </w:pPr>
      <w:r w:rsidRPr="003D3C04">
        <w:rPr>
          <w:rFonts w:asciiTheme="majorBidi" w:hAnsiTheme="majorBidi" w:cstheme="majorBidi"/>
          <w:b/>
          <w:bCs/>
        </w:rPr>
        <w:t>When should the next Knesset elections be held? (Jewish and Arab samples; %)</w:t>
      </w:r>
    </w:p>
    <w:p w14:paraId="54A859C0" w14:textId="77777777" w:rsidR="00EA38EE" w:rsidRPr="003D3C04" w:rsidRDefault="00EA38EE" w:rsidP="00EA38EE">
      <w:pPr>
        <w:spacing w:line="360" w:lineRule="auto"/>
        <w:jc w:val="both"/>
        <w:rPr>
          <w:rFonts w:asciiTheme="majorBidi" w:hAnsiTheme="majorBidi" w:cstheme="majorBidi"/>
          <w:rtl/>
        </w:rPr>
      </w:pPr>
      <w:r w:rsidRPr="003D3C04">
        <w:rPr>
          <w:rFonts w:asciiTheme="majorBidi" w:hAnsiTheme="majorBidi" w:cstheme="majorBidi"/>
          <w:noProof/>
          <w:rtl/>
          <w:lang w:val="he-IL"/>
        </w:rPr>
        <w:drawing>
          <wp:inline distT="0" distB="0" distL="0" distR="0" wp14:anchorId="51CFFEBB" wp14:editId="336C2E51">
            <wp:extent cx="5654040" cy="3032760"/>
            <wp:effectExtent l="0" t="0" r="3810" b="0"/>
            <wp:docPr id="301132169"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21C6B6" w14:textId="1C248FCC" w:rsidR="004C191D" w:rsidRDefault="00501F6A" w:rsidP="00EA38EE">
      <w:pPr>
        <w:bidi w:val="0"/>
        <w:rPr>
          <w:b/>
          <w:bCs/>
          <w:color w:val="4472C4" w:themeColor="accent1"/>
          <w:sz w:val="24"/>
          <w:szCs w:val="24"/>
        </w:rPr>
      </w:pPr>
      <w:r>
        <w:rPr>
          <w:b/>
          <w:bCs/>
          <w:color w:val="4472C4" w:themeColor="accent1"/>
          <w:sz w:val="24"/>
          <w:szCs w:val="24"/>
        </w:rPr>
        <w:t xml:space="preserve">Half of </w:t>
      </w:r>
      <w:r w:rsidR="004C191D">
        <w:rPr>
          <w:b/>
          <w:bCs/>
          <w:color w:val="4472C4" w:themeColor="accent1"/>
          <w:sz w:val="24"/>
          <w:szCs w:val="24"/>
        </w:rPr>
        <w:t xml:space="preserve">Jewish Israelis: ICJ </w:t>
      </w:r>
      <w:r w:rsidR="00D90729">
        <w:rPr>
          <w:b/>
          <w:bCs/>
          <w:color w:val="4472C4" w:themeColor="accent1"/>
          <w:sz w:val="24"/>
          <w:szCs w:val="24"/>
        </w:rPr>
        <w:t>r</w:t>
      </w:r>
      <w:r w:rsidR="004C191D">
        <w:rPr>
          <w:b/>
          <w:bCs/>
          <w:color w:val="4472C4" w:themeColor="accent1"/>
          <w:sz w:val="24"/>
          <w:szCs w:val="24"/>
        </w:rPr>
        <w:t xml:space="preserve">uling on genocide was harsh on </w:t>
      </w:r>
      <w:proofErr w:type="gramStart"/>
      <w:r w:rsidR="004C191D">
        <w:rPr>
          <w:b/>
          <w:bCs/>
          <w:color w:val="4472C4" w:themeColor="accent1"/>
          <w:sz w:val="24"/>
          <w:szCs w:val="24"/>
        </w:rPr>
        <w:t>Israel</w:t>
      </w:r>
      <w:proofErr w:type="gramEnd"/>
    </w:p>
    <w:p w14:paraId="29BF3DC4" w14:textId="129496E5" w:rsidR="00501F6A" w:rsidRDefault="00501F6A" w:rsidP="00501F6A">
      <w:pPr>
        <w:bidi w:val="0"/>
        <w:rPr>
          <w:sz w:val="24"/>
          <w:szCs w:val="24"/>
        </w:rPr>
      </w:pPr>
      <w:r w:rsidRPr="00501F6A">
        <w:rPr>
          <w:sz w:val="24"/>
          <w:szCs w:val="24"/>
        </w:rPr>
        <w:t>We asked: “In its ruling last week, the International Court of Justice</w:t>
      </w:r>
      <w:r w:rsidR="00D90729">
        <w:rPr>
          <w:sz w:val="24"/>
          <w:szCs w:val="24"/>
        </w:rPr>
        <w:t xml:space="preserve"> (ICJ)</w:t>
      </w:r>
      <w:r w:rsidRPr="00501F6A">
        <w:rPr>
          <w:sz w:val="24"/>
          <w:szCs w:val="24"/>
        </w:rPr>
        <w:t xml:space="preserve"> in The Hague did not accept South Africa’s claims that Israel is committing genocide in Gaza and did not order a ceasefire, but it did issue a series of temporary orders requiring Israel to minimize harm to civilians and infrastructure in Gaza and to allow the entry of humanitarian aid. In your opinion, </w:t>
      </w:r>
      <w:proofErr w:type="gramStart"/>
      <w:r w:rsidRPr="00501F6A">
        <w:rPr>
          <w:sz w:val="24"/>
          <w:szCs w:val="24"/>
        </w:rPr>
        <w:t>with regard to</w:t>
      </w:r>
      <w:proofErr w:type="gramEnd"/>
      <w:r w:rsidRPr="00501F6A">
        <w:rPr>
          <w:sz w:val="24"/>
          <w:szCs w:val="24"/>
        </w:rPr>
        <w:t xml:space="preserve"> Israel, is this ruling lenient or harsh</w:t>
      </w:r>
      <w:r>
        <w:rPr>
          <w:rFonts w:cs="Arial"/>
          <w:sz w:val="24"/>
          <w:szCs w:val="24"/>
        </w:rPr>
        <w:t>?" 50% of Jewish Israelis said the ruling was harsh on Israel, compared to 39</w:t>
      </w:r>
      <w:r w:rsidR="009A71BA">
        <w:rPr>
          <w:rFonts w:cs="Arial"/>
          <w:sz w:val="24"/>
          <w:szCs w:val="24"/>
        </w:rPr>
        <w:t xml:space="preserve">% </w:t>
      </w:r>
      <w:r>
        <w:rPr>
          <w:rFonts w:cs="Arial"/>
          <w:sz w:val="24"/>
          <w:szCs w:val="24"/>
        </w:rPr>
        <w:t xml:space="preserve">who thought it was lenient and 11% who did not know. Among Arab Israelis, only 19% thought the ruling was harsh, compared to 46% who thought it was lenient and a sizeable 35% who did not know. </w:t>
      </w:r>
    </w:p>
    <w:p w14:paraId="5D2D30C0" w14:textId="77777777" w:rsidR="00D90729" w:rsidRPr="003D3C04" w:rsidRDefault="00D90729" w:rsidP="00D90729">
      <w:pPr>
        <w:bidi w:val="0"/>
        <w:spacing w:after="120" w:line="360" w:lineRule="auto"/>
        <w:jc w:val="both"/>
        <w:rPr>
          <w:rFonts w:asciiTheme="majorBidi" w:hAnsiTheme="majorBidi" w:cstheme="majorBidi"/>
          <w:b/>
          <w:bCs/>
          <w:rtl/>
        </w:rPr>
      </w:pPr>
      <w:bookmarkStart w:id="0" w:name="_Hlk158034047"/>
      <w:r w:rsidRPr="003D3C04">
        <w:rPr>
          <w:rFonts w:asciiTheme="majorBidi" w:hAnsiTheme="majorBidi" w:cstheme="majorBidi"/>
          <w:b/>
          <w:bCs/>
        </w:rPr>
        <w:t xml:space="preserve">Was the ruling by the International Court of Justice in The Hague harsh or lenient with regard to </w:t>
      </w:r>
      <w:proofErr w:type="gramStart"/>
      <w:r w:rsidRPr="003D3C04">
        <w:rPr>
          <w:rFonts w:asciiTheme="majorBidi" w:hAnsiTheme="majorBidi" w:cstheme="majorBidi"/>
          <w:b/>
          <w:bCs/>
        </w:rPr>
        <w:t>Israel ?</w:t>
      </w:r>
      <w:proofErr w:type="gramEnd"/>
      <w:r w:rsidRPr="003D3C04">
        <w:rPr>
          <w:rFonts w:asciiTheme="majorBidi" w:hAnsiTheme="majorBidi" w:cstheme="majorBidi"/>
          <w:b/>
          <w:bCs/>
        </w:rPr>
        <w:t xml:space="preserve"> (Jewish and Arab samples; %)</w:t>
      </w:r>
    </w:p>
    <w:p w14:paraId="29B41596" w14:textId="77777777" w:rsidR="00D90729" w:rsidRPr="003D3C04" w:rsidRDefault="00D90729" w:rsidP="00D90729">
      <w:pPr>
        <w:spacing w:line="360" w:lineRule="auto"/>
        <w:jc w:val="both"/>
        <w:rPr>
          <w:rFonts w:asciiTheme="majorBidi" w:hAnsiTheme="majorBidi" w:cstheme="majorBidi"/>
        </w:rPr>
      </w:pPr>
      <w:r w:rsidRPr="003D3C04">
        <w:rPr>
          <w:rFonts w:asciiTheme="majorBidi" w:hAnsiTheme="majorBidi" w:cstheme="majorBidi"/>
          <w:b/>
          <w:bCs/>
          <w:noProof/>
          <w:rtl/>
          <w:lang w:val="he-IL"/>
        </w:rPr>
        <w:drawing>
          <wp:inline distT="0" distB="0" distL="0" distR="0" wp14:anchorId="7CACDB2E" wp14:editId="0E615CB0">
            <wp:extent cx="5125720" cy="2476500"/>
            <wp:effectExtent l="0" t="0" r="0" b="0"/>
            <wp:docPr id="1583557460"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0"/>
    <w:p w14:paraId="287CF455" w14:textId="77777777" w:rsidR="00D90729" w:rsidRDefault="00D90729" w:rsidP="00D90729">
      <w:pPr>
        <w:bidi w:val="0"/>
        <w:rPr>
          <w:sz w:val="24"/>
          <w:szCs w:val="24"/>
        </w:rPr>
      </w:pPr>
    </w:p>
    <w:p w14:paraId="67D5B9DD" w14:textId="1B725C05" w:rsidR="004D1EB8" w:rsidRPr="004D1EB8" w:rsidRDefault="004D1EB8" w:rsidP="004C191D">
      <w:pPr>
        <w:bidi w:val="0"/>
        <w:rPr>
          <w:b/>
          <w:bCs/>
          <w:color w:val="4472C4" w:themeColor="accent1"/>
          <w:sz w:val="24"/>
          <w:szCs w:val="24"/>
        </w:rPr>
      </w:pPr>
      <w:r>
        <w:rPr>
          <w:b/>
          <w:bCs/>
          <w:color w:val="4472C4" w:themeColor="accent1"/>
          <w:sz w:val="24"/>
          <w:szCs w:val="24"/>
        </w:rPr>
        <w:t xml:space="preserve">Views vary on whether to </w:t>
      </w:r>
      <w:r w:rsidR="006B5CC3">
        <w:rPr>
          <w:b/>
          <w:bCs/>
          <w:color w:val="4472C4" w:themeColor="accent1"/>
          <w:sz w:val="24"/>
          <w:szCs w:val="24"/>
        </w:rPr>
        <w:t xml:space="preserve">postpone </w:t>
      </w:r>
      <w:r>
        <w:rPr>
          <w:b/>
          <w:bCs/>
          <w:color w:val="4472C4" w:themeColor="accent1"/>
          <w:sz w:val="24"/>
          <w:szCs w:val="24"/>
        </w:rPr>
        <w:t>investigations into October 7</w:t>
      </w:r>
    </w:p>
    <w:p w14:paraId="3662C771" w14:textId="1DB94696" w:rsidR="00196302" w:rsidRPr="00196302" w:rsidRDefault="00196302" w:rsidP="004D1EB8">
      <w:pPr>
        <w:bidi w:val="0"/>
        <w:rPr>
          <w:sz w:val="24"/>
          <w:szCs w:val="24"/>
        </w:rPr>
      </w:pPr>
      <w:r>
        <w:rPr>
          <w:sz w:val="24"/>
          <w:szCs w:val="24"/>
        </w:rPr>
        <w:t>Amid fierce public debate on the question of when to investigate and apportion responsibility for the events of October 7, we</w:t>
      </w:r>
      <w:r w:rsidRPr="00196302">
        <w:rPr>
          <w:sz w:val="24"/>
          <w:szCs w:val="24"/>
        </w:rPr>
        <w:t xml:space="preserve"> asked</w:t>
      </w:r>
      <w:r>
        <w:rPr>
          <w:sz w:val="24"/>
          <w:szCs w:val="24"/>
        </w:rPr>
        <w:t xml:space="preserve"> the following</w:t>
      </w:r>
      <w:r w:rsidRPr="00196302">
        <w:rPr>
          <w:sz w:val="24"/>
          <w:szCs w:val="24"/>
        </w:rPr>
        <w:t xml:space="preserve">: “The IDF chief of general staff has decided to suspend the work of the review committee he established to investigate the events of October 7. Do you support or oppose this decision?” </w:t>
      </w:r>
      <w:r>
        <w:rPr>
          <w:sz w:val="24"/>
          <w:szCs w:val="24"/>
        </w:rPr>
        <w:t xml:space="preserve">Overall, </w:t>
      </w:r>
      <w:r w:rsidRPr="00196302">
        <w:rPr>
          <w:sz w:val="24"/>
          <w:szCs w:val="24"/>
        </w:rPr>
        <w:t>43% support this suspension, and 42% are against it</w:t>
      </w:r>
      <w:r>
        <w:rPr>
          <w:sz w:val="24"/>
          <w:szCs w:val="24"/>
        </w:rPr>
        <w:t>, though the rate of support varies across the Left (29%), Center (39%) and Right (54%)</w:t>
      </w:r>
      <w:r w:rsidRPr="00196302">
        <w:rPr>
          <w:sz w:val="24"/>
          <w:szCs w:val="24"/>
        </w:rPr>
        <w:t>.</w:t>
      </w:r>
      <w:r>
        <w:rPr>
          <w:sz w:val="24"/>
          <w:szCs w:val="24"/>
        </w:rPr>
        <w:t xml:space="preserve"> </w:t>
      </w:r>
      <w:r w:rsidR="004D1EB8">
        <w:rPr>
          <w:sz w:val="24"/>
          <w:szCs w:val="24"/>
        </w:rPr>
        <w:t xml:space="preserve">A similar question was posed regarding the IDF Chief of Staff's statement that the State Comptroller's investigation into October 7 should be postponed. A clear majority of 63% agree with this statement—a majority that stands across the political Left (74%), Center (67%) and Right (71%).  </w:t>
      </w:r>
    </w:p>
    <w:p w14:paraId="728E124F" w14:textId="7F673B81" w:rsidR="00771254" w:rsidRDefault="00175D7E" w:rsidP="00196302">
      <w:pPr>
        <w:bidi w:val="0"/>
        <w:rPr>
          <w:b/>
          <w:bCs/>
          <w:color w:val="4472C4" w:themeColor="accent1"/>
          <w:sz w:val="24"/>
          <w:szCs w:val="24"/>
        </w:rPr>
      </w:pPr>
      <w:r>
        <w:rPr>
          <w:b/>
          <w:bCs/>
          <w:color w:val="4472C4" w:themeColor="accent1"/>
          <w:sz w:val="24"/>
          <w:szCs w:val="24"/>
        </w:rPr>
        <w:t>Low rate of</w:t>
      </w:r>
      <w:r w:rsidR="00771254">
        <w:rPr>
          <w:b/>
          <w:bCs/>
          <w:color w:val="4472C4" w:themeColor="accent1"/>
          <w:sz w:val="24"/>
          <w:szCs w:val="24"/>
        </w:rPr>
        <w:t xml:space="preserve"> Israelis think </w:t>
      </w:r>
      <w:r>
        <w:rPr>
          <w:b/>
          <w:bCs/>
          <w:color w:val="4472C4" w:themeColor="accent1"/>
          <w:sz w:val="24"/>
          <w:szCs w:val="24"/>
        </w:rPr>
        <w:t>the State is</w:t>
      </w:r>
      <w:r w:rsidR="00771254">
        <w:rPr>
          <w:b/>
          <w:bCs/>
          <w:color w:val="4472C4" w:themeColor="accent1"/>
          <w:sz w:val="24"/>
          <w:szCs w:val="24"/>
        </w:rPr>
        <w:t xml:space="preserve"> successful in security of citizens; not unique to </w:t>
      </w:r>
      <w:proofErr w:type="gramStart"/>
      <w:r w:rsidR="00771254">
        <w:rPr>
          <w:b/>
          <w:bCs/>
          <w:color w:val="4472C4" w:themeColor="accent1"/>
          <w:sz w:val="24"/>
          <w:szCs w:val="24"/>
        </w:rPr>
        <w:t>war</w:t>
      </w:r>
      <w:r>
        <w:rPr>
          <w:b/>
          <w:bCs/>
          <w:color w:val="4472C4" w:themeColor="accent1"/>
          <w:sz w:val="24"/>
          <w:szCs w:val="24"/>
        </w:rPr>
        <w:t>time</w:t>
      </w:r>
      <w:proofErr w:type="gramEnd"/>
    </w:p>
    <w:p w14:paraId="04552797" w14:textId="68C8AEBB" w:rsidR="00771254" w:rsidRPr="00771254" w:rsidRDefault="00771254" w:rsidP="00771254">
      <w:pPr>
        <w:bidi w:val="0"/>
        <w:rPr>
          <w:sz w:val="24"/>
          <w:szCs w:val="24"/>
          <w:rtl/>
        </w:rPr>
      </w:pPr>
      <w:r>
        <w:rPr>
          <w:sz w:val="24"/>
          <w:szCs w:val="24"/>
        </w:rPr>
        <w:t>Only 39% of Israelis think the State of Israel is successfully ensuring the security</w:t>
      </w:r>
      <w:r w:rsidR="009D0AA4">
        <w:rPr>
          <w:sz w:val="24"/>
          <w:szCs w:val="24"/>
        </w:rPr>
        <w:t xml:space="preserve"> of its citizens – this is similar to the rate in </w:t>
      </w:r>
      <w:proofErr w:type="gramStart"/>
      <w:r w:rsidR="009D0AA4">
        <w:rPr>
          <w:sz w:val="24"/>
          <w:szCs w:val="24"/>
        </w:rPr>
        <w:t>2022, but</w:t>
      </w:r>
      <w:proofErr w:type="gramEnd"/>
      <w:r w:rsidR="009D0AA4">
        <w:rPr>
          <w:sz w:val="24"/>
          <w:szCs w:val="24"/>
        </w:rPr>
        <w:t xml:space="preserve"> represents a sharp decline from 76% in 2020 and 56% in 2021. </w:t>
      </w:r>
    </w:p>
    <w:p w14:paraId="6B210F36" w14:textId="214516F2" w:rsidR="0069496B" w:rsidRPr="00771254" w:rsidRDefault="0069496B" w:rsidP="00771254">
      <w:pPr>
        <w:bidi w:val="0"/>
        <w:rPr>
          <w:b/>
          <w:bCs/>
          <w:color w:val="4472C4" w:themeColor="accent1"/>
          <w:sz w:val="24"/>
          <w:szCs w:val="24"/>
        </w:rPr>
      </w:pPr>
      <w:r w:rsidRPr="00771254">
        <w:rPr>
          <w:b/>
          <w:bCs/>
          <w:color w:val="4472C4" w:themeColor="accent1"/>
          <w:sz w:val="24"/>
          <w:szCs w:val="24"/>
        </w:rPr>
        <w:t xml:space="preserve">Rates of optimism </w:t>
      </w:r>
      <w:r w:rsidR="00771254" w:rsidRPr="00771254">
        <w:rPr>
          <w:b/>
          <w:bCs/>
          <w:color w:val="4472C4" w:themeColor="accent1"/>
          <w:sz w:val="24"/>
          <w:szCs w:val="24"/>
        </w:rPr>
        <w:t xml:space="preserve">about the future </w:t>
      </w:r>
      <w:proofErr w:type="gramStart"/>
      <w:r w:rsidR="00771254">
        <w:rPr>
          <w:b/>
          <w:bCs/>
          <w:color w:val="4472C4" w:themeColor="accent1"/>
          <w:sz w:val="24"/>
          <w:szCs w:val="24"/>
        </w:rPr>
        <w:t>fairly steady</w:t>
      </w:r>
      <w:proofErr w:type="gramEnd"/>
      <w:r w:rsidR="00771254">
        <w:rPr>
          <w:b/>
          <w:bCs/>
          <w:color w:val="4472C4" w:themeColor="accent1"/>
          <w:sz w:val="24"/>
          <w:szCs w:val="24"/>
        </w:rPr>
        <w:t xml:space="preserve"> since start of the war</w:t>
      </w:r>
      <w:r w:rsidR="00771254" w:rsidRPr="00771254">
        <w:rPr>
          <w:b/>
          <w:bCs/>
          <w:color w:val="4472C4" w:themeColor="accent1"/>
          <w:sz w:val="24"/>
          <w:szCs w:val="24"/>
        </w:rPr>
        <w:t xml:space="preserve"> </w:t>
      </w:r>
      <w:r w:rsidRPr="00771254">
        <w:rPr>
          <w:b/>
          <w:bCs/>
          <w:color w:val="4472C4" w:themeColor="accent1"/>
          <w:sz w:val="24"/>
          <w:szCs w:val="24"/>
        </w:rPr>
        <w:t xml:space="preserve"> </w:t>
      </w:r>
    </w:p>
    <w:p w14:paraId="1F0ECF7D" w14:textId="2084C9F9" w:rsidR="004E0C69" w:rsidRDefault="0069496B" w:rsidP="0069496B">
      <w:pPr>
        <w:bidi w:val="0"/>
        <w:rPr>
          <w:sz w:val="24"/>
          <w:szCs w:val="24"/>
        </w:rPr>
      </w:pPr>
      <w:r w:rsidRPr="0069496B">
        <w:rPr>
          <w:sz w:val="24"/>
          <w:szCs w:val="24"/>
        </w:rPr>
        <w:t>In terms of optimism about both the future of Israel’s security</w:t>
      </w:r>
      <w:r w:rsidR="00771254">
        <w:rPr>
          <w:sz w:val="24"/>
          <w:szCs w:val="24"/>
        </w:rPr>
        <w:t xml:space="preserve"> (39% today)</w:t>
      </w:r>
      <w:r w:rsidRPr="0069496B">
        <w:rPr>
          <w:sz w:val="24"/>
          <w:szCs w:val="24"/>
        </w:rPr>
        <w:t xml:space="preserve"> and the future of democratic rule</w:t>
      </w:r>
      <w:r w:rsidR="00771254">
        <w:rPr>
          <w:sz w:val="24"/>
          <w:szCs w:val="24"/>
        </w:rPr>
        <w:t xml:space="preserve"> (41% today)</w:t>
      </w:r>
      <w:r w:rsidRPr="0069496B">
        <w:rPr>
          <w:sz w:val="24"/>
          <w:szCs w:val="24"/>
        </w:rPr>
        <w:t xml:space="preserve"> in Israel, there has been almost no change relative to last month. This month’s optimism scores are slightly lower than those found in November, but identical to October’s, and are higher than the average for the period of the protests during 2023, when optimism was at a low.</w:t>
      </w:r>
    </w:p>
    <w:p w14:paraId="37849AFE" w14:textId="31E28880" w:rsidR="00532968" w:rsidRPr="00532968" w:rsidRDefault="00532968" w:rsidP="00532968">
      <w:pPr>
        <w:bidi w:val="0"/>
        <w:rPr>
          <w:i/>
          <w:iCs/>
          <w:sz w:val="24"/>
          <w:szCs w:val="24"/>
        </w:rPr>
      </w:pPr>
      <w:r w:rsidRPr="00532968">
        <w:rPr>
          <w:i/>
          <w:iCs/>
          <w:sz w:val="24"/>
          <w:szCs w:val="24"/>
        </w:rPr>
        <w:t>The January 2024 Israeli Voice Index was prepared by the Viterbi Family Center for Public Opinion and Policy Research at the Israel Democracy Institute. The survey was conducted via the internet and by telephone (to include groups that are under-represented on the internet) between January 28–30, 2024, with 619 men and women interviewed in Hebrew and 153 in Arabic, constituting a nationally representative sample of the adult population in Israel aged 18 and over. The maximum sampling error was ±3.59% at a confidence level of 95%. Field work was carried out by the Dialogue Research and Polling Institute. The full data file can be found at: https://dataisrael.idi.org.il.</w:t>
      </w:r>
    </w:p>
    <w:sectPr w:rsidR="00532968" w:rsidRPr="00532968" w:rsidSect="00875499">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85A7" w14:textId="77777777" w:rsidR="00875499" w:rsidRDefault="00875499" w:rsidP="00253199">
      <w:pPr>
        <w:spacing w:after="0" w:line="240" w:lineRule="auto"/>
      </w:pPr>
      <w:r>
        <w:separator/>
      </w:r>
    </w:p>
  </w:endnote>
  <w:endnote w:type="continuationSeparator" w:id="0">
    <w:p w14:paraId="17EF050A" w14:textId="77777777" w:rsidR="00875499" w:rsidRDefault="00875499"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0706" w14:textId="77777777" w:rsidR="00875499" w:rsidRDefault="00875499" w:rsidP="00253199">
      <w:pPr>
        <w:spacing w:after="0" w:line="240" w:lineRule="auto"/>
      </w:pPr>
      <w:r>
        <w:separator/>
      </w:r>
    </w:p>
  </w:footnote>
  <w:footnote w:type="continuationSeparator" w:id="0">
    <w:p w14:paraId="79EBB25E" w14:textId="77777777" w:rsidR="00875499" w:rsidRDefault="00875499"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2"/>
    <w:rsid w:val="000A0893"/>
    <w:rsid w:val="000C2702"/>
    <w:rsid w:val="000E274C"/>
    <w:rsid w:val="000E6A94"/>
    <w:rsid w:val="00104B02"/>
    <w:rsid w:val="001170FD"/>
    <w:rsid w:val="00121CA0"/>
    <w:rsid w:val="00175D7E"/>
    <w:rsid w:val="00196302"/>
    <w:rsid w:val="001D7F66"/>
    <w:rsid w:val="0023497A"/>
    <w:rsid w:val="00242199"/>
    <w:rsid w:val="00242AA2"/>
    <w:rsid w:val="00253199"/>
    <w:rsid w:val="00273641"/>
    <w:rsid w:val="0027591C"/>
    <w:rsid w:val="00315BCA"/>
    <w:rsid w:val="00362F7C"/>
    <w:rsid w:val="00365BAE"/>
    <w:rsid w:val="003C172E"/>
    <w:rsid w:val="00493AFB"/>
    <w:rsid w:val="004C191D"/>
    <w:rsid w:val="004D1EB8"/>
    <w:rsid w:val="004E0C69"/>
    <w:rsid w:val="00501F6A"/>
    <w:rsid w:val="00527AFE"/>
    <w:rsid w:val="00532968"/>
    <w:rsid w:val="00592610"/>
    <w:rsid w:val="005B2489"/>
    <w:rsid w:val="00614823"/>
    <w:rsid w:val="00635DB1"/>
    <w:rsid w:val="0065325B"/>
    <w:rsid w:val="0069496B"/>
    <w:rsid w:val="006B5CC3"/>
    <w:rsid w:val="0075169B"/>
    <w:rsid w:val="00757E7D"/>
    <w:rsid w:val="00771254"/>
    <w:rsid w:val="008513C7"/>
    <w:rsid w:val="00875499"/>
    <w:rsid w:val="008B3DC1"/>
    <w:rsid w:val="009116CD"/>
    <w:rsid w:val="00917E2E"/>
    <w:rsid w:val="00976BBE"/>
    <w:rsid w:val="00990050"/>
    <w:rsid w:val="009A71BA"/>
    <w:rsid w:val="009D0AA4"/>
    <w:rsid w:val="009D52F0"/>
    <w:rsid w:val="009D7A57"/>
    <w:rsid w:val="009F2FB3"/>
    <w:rsid w:val="00A307E9"/>
    <w:rsid w:val="00A532B3"/>
    <w:rsid w:val="00A554B1"/>
    <w:rsid w:val="00A70E29"/>
    <w:rsid w:val="00B0271C"/>
    <w:rsid w:val="00B140C4"/>
    <w:rsid w:val="00BC1FC1"/>
    <w:rsid w:val="00BD4937"/>
    <w:rsid w:val="00BF49BF"/>
    <w:rsid w:val="00C5559F"/>
    <w:rsid w:val="00C9394B"/>
    <w:rsid w:val="00CA27C2"/>
    <w:rsid w:val="00CF35E3"/>
    <w:rsid w:val="00D169A0"/>
    <w:rsid w:val="00D32F43"/>
    <w:rsid w:val="00D826B4"/>
    <w:rsid w:val="00D90729"/>
    <w:rsid w:val="00DA796D"/>
    <w:rsid w:val="00DE12B6"/>
    <w:rsid w:val="00E36C01"/>
    <w:rsid w:val="00E67A61"/>
    <w:rsid w:val="00EA38EE"/>
    <w:rsid w:val="00F0378E"/>
    <w:rsid w:val="00F87786"/>
    <w:rsid w:val="00FB5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81261321208086E-2"/>
          <c:y val="2.1926226287582316E-2"/>
          <c:w val="0.9355991768634554"/>
          <c:h val="0.67509655275720815"/>
        </c:manualLayout>
      </c:layout>
      <c:barChart>
        <c:barDir val="col"/>
        <c:grouping val="stacked"/>
        <c:varyColors val="0"/>
        <c:ser>
          <c:idx val="0"/>
          <c:order val="0"/>
          <c:tx>
            <c:strRef>
              <c:f>גיליון1!$B$1</c:f>
              <c:strCache>
                <c:ptCount val="1"/>
                <c:pt idx="0">
                  <c:v>On their original date, in November 2026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גיליון1!$B$2:$B$6</c:f>
              <c:numCache>
                <c:formatCode>General</c:formatCode>
                <c:ptCount val="5"/>
                <c:pt idx="0">
                  <c:v>5</c:v>
                </c:pt>
                <c:pt idx="1">
                  <c:v>25</c:v>
                </c:pt>
                <c:pt idx="2">
                  <c:v>6</c:v>
                </c:pt>
                <c:pt idx="3">
                  <c:v>9</c:v>
                </c:pt>
                <c:pt idx="4">
                  <c:v>38</c:v>
                </c:pt>
              </c:numCache>
            </c:numRef>
          </c:val>
          <c:extLst>
            <c:ext xmlns:c16="http://schemas.microsoft.com/office/drawing/2014/chart" uri="{C3380CC4-5D6E-409C-BE32-E72D297353CC}">
              <c16:uniqueId val="{00000000-501B-4AF2-855E-72CE8BC282E3}"/>
            </c:ext>
          </c:extLst>
        </c:ser>
        <c:ser>
          <c:idx val="1"/>
          <c:order val="1"/>
          <c:tx>
            <c:strRef>
              <c:f>גיליון1!$C$1</c:f>
              <c:strCache>
                <c:ptCount val="1"/>
                <c:pt idx="0">
                  <c:v>At the end of the war</c:v>
                </c:pt>
              </c:strCache>
            </c:strRef>
          </c:tx>
          <c:spPr>
            <a:solidFill>
              <a:srgbClr val="99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גיליון1!$C$2:$C$6</c:f>
              <c:numCache>
                <c:formatCode>General</c:formatCode>
                <c:ptCount val="5"/>
                <c:pt idx="0">
                  <c:v>25</c:v>
                </c:pt>
                <c:pt idx="1">
                  <c:v>41</c:v>
                </c:pt>
                <c:pt idx="2">
                  <c:v>22</c:v>
                </c:pt>
                <c:pt idx="3">
                  <c:v>43</c:v>
                </c:pt>
                <c:pt idx="4">
                  <c:v>46</c:v>
                </c:pt>
              </c:numCache>
            </c:numRef>
          </c:val>
          <c:extLst>
            <c:ext xmlns:c16="http://schemas.microsoft.com/office/drawing/2014/chart" uri="{C3380CC4-5D6E-409C-BE32-E72D297353CC}">
              <c16:uniqueId val="{00000001-501B-4AF2-855E-72CE8BC282E3}"/>
            </c:ext>
          </c:extLst>
        </c:ser>
        <c:ser>
          <c:idx val="2"/>
          <c:order val="2"/>
          <c:tx>
            <c:strRef>
              <c:f>גיליון1!$D$1</c:f>
              <c:strCache>
                <c:ptCount val="1"/>
                <c:pt idx="0">
                  <c:v>In around three months' time, in accordance with the law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גיליון1!$D$2:$D$6</c:f>
              <c:numCache>
                <c:formatCode>General</c:formatCode>
                <c:ptCount val="5"/>
                <c:pt idx="0">
                  <c:v>57</c:v>
                </c:pt>
                <c:pt idx="1">
                  <c:v>28</c:v>
                </c:pt>
                <c:pt idx="2">
                  <c:v>71</c:v>
                </c:pt>
                <c:pt idx="3">
                  <c:v>42</c:v>
                </c:pt>
                <c:pt idx="4">
                  <c:v>11</c:v>
                </c:pt>
              </c:numCache>
            </c:numRef>
          </c:val>
          <c:extLst>
            <c:ext xmlns:c16="http://schemas.microsoft.com/office/drawing/2014/chart" uri="{C3380CC4-5D6E-409C-BE32-E72D297353CC}">
              <c16:uniqueId val="{00000002-501B-4AF2-855E-72CE8BC282E3}"/>
            </c:ext>
          </c:extLst>
        </c:ser>
        <c:ser>
          <c:idx val="3"/>
          <c:order val="3"/>
          <c:tx>
            <c:strRef>
              <c:f>גיליון1!$E$1</c:f>
              <c:strCache>
                <c:ptCount val="1"/>
                <c:pt idx="0">
                  <c:v>Don’t know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גיליון1!$E$2:$E$6</c:f>
              <c:numCache>
                <c:formatCode>General</c:formatCode>
                <c:ptCount val="5"/>
                <c:pt idx="0">
                  <c:v>13</c:v>
                </c:pt>
                <c:pt idx="1">
                  <c:v>6</c:v>
                </c:pt>
                <c:pt idx="2">
                  <c:v>1</c:v>
                </c:pt>
                <c:pt idx="3">
                  <c:v>6</c:v>
                </c:pt>
                <c:pt idx="4">
                  <c:v>5</c:v>
                </c:pt>
              </c:numCache>
            </c:numRef>
          </c:val>
          <c:extLst>
            <c:ext xmlns:c16="http://schemas.microsoft.com/office/drawing/2014/chart" uri="{C3380CC4-5D6E-409C-BE32-E72D297353CC}">
              <c16:uniqueId val="{00000003-501B-4AF2-855E-72CE8BC282E3}"/>
            </c:ext>
          </c:extLst>
        </c:ser>
        <c:dLbls>
          <c:showLegendKey val="0"/>
          <c:showVal val="0"/>
          <c:showCatName val="0"/>
          <c:showSerName val="0"/>
          <c:showPercent val="0"/>
          <c:showBubbleSize val="0"/>
        </c:dLbls>
        <c:gapWidth val="150"/>
        <c:overlap val="100"/>
        <c:axId val="1419040015"/>
        <c:axId val="1307882191"/>
      </c:barChart>
      <c:catAx>
        <c:axId val="1419040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307882191"/>
        <c:crosses val="autoZero"/>
        <c:auto val="1"/>
        <c:lblAlgn val="ctr"/>
        <c:lblOffset val="100"/>
        <c:noMultiLvlLbl val="0"/>
      </c:catAx>
      <c:valAx>
        <c:axId val="130788219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419040015"/>
        <c:crosses val="autoZero"/>
        <c:crossBetween val="between"/>
        <c:majorUnit val="20"/>
      </c:valAx>
      <c:spPr>
        <a:noFill/>
        <a:ln>
          <a:noFill/>
        </a:ln>
        <a:effectLst/>
      </c:spPr>
    </c:plotArea>
    <c:legend>
      <c:legendPos val="b"/>
      <c:layout>
        <c:manualLayout>
          <c:xMode val="edge"/>
          <c:yMode val="edge"/>
          <c:x val="0.18464332803469988"/>
          <c:y val="0.79245292849560056"/>
          <c:w val="0.63071317963188878"/>
          <c:h val="0.20754707150439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94287631786365E-2"/>
          <c:y val="2.8166767615586515E-2"/>
          <c:w val="0.89875100473689551"/>
          <c:h val="0.76700827781142744"/>
        </c:manualLayout>
      </c:layout>
      <c:barChart>
        <c:barDir val="col"/>
        <c:grouping val="stacked"/>
        <c:varyColors val="0"/>
        <c:ser>
          <c:idx val="0"/>
          <c:order val="0"/>
          <c:tx>
            <c:strRef>
              <c:f>גיליון1!$B$1</c:f>
              <c:strCache>
                <c:ptCount val="1"/>
                <c:pt idx="0">
                  <c:v>Harsh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Jews</c:v>
                </c:pt>
                <c:pt idx="1">
                  <c:v>Arabs</c:v>
                </c:pt>
              </c:strCache>
            </c:strRef>
          </c:cat>
          <c:val>
            <c:numRef>
              <c:f>גיליון1!$B$2:$B$3</c:f>
              <c:numCache>
                <c:formatCode>General</c:formatCode>
                <c:ptCount val="2"/>
                <c:pt idx="0">
                  <c:v>50</c:v>
                </c:pt>
                <c:pt idx="1">
                  <c:v>19</c:v>
                </c:pt>
              </c:numCache>
            </c:numRef>
          </c:val>
          <c:extLst>
            <c:ext xmlns:c16="http://schemas.microsoft.com/office/drawing/2014/chart" uri="{C3380CC4-5D6E-409C-BE32-E72D297353CC}">
              <c16:uniqueId val="{00000000-3D19-4356-B7D2-DE74BA831B92}"/>
            </c:ext>
          </c:extLst>
        </c:ser>
        <c:ser>
          <c:idx val="1"/>
          <c:order val="1"/>
          <c:tx>
            <c:strRef>
              <c:f>גיליון1!$C$1</c:f>
              <c:strCache>
                <c:ptCount val="1"/>
                <c:pt idx="0">
                  <c:v>Lenient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Jews</c:v>
                </c:pt>
                <c:pt idx="1">
                  <c:v>Arabs</c:v>
                </c:pt>
              </c:strCache>
            </c:strRef>
          </c:cat>
          <c:val>
            <c:numRef>
              <c:f>גיליון1!$C$2:$C$3</c:f>
              <c:numCache>
                <c:formatCode>General</c:formatCode>
                <c:ptCount val="2"/>
                <c:pt idx="0">
                  <c:v>39</c:v>
                </c:pt>
                <c:pt idx="1">
                  <c:v>46</c:v>
                </c:pt>
              </c:numCache>
            </c:numRef>
          </c:val>
          <c:extLst>
            <c:ext xmlns:c16="http://schemas.microsoft.com/office/drawing/2014/chart" uri="{C3380CC4-5D6E-409C-BE32-E72D297353CC}">
              <c16:uniqueId val="{00000001-3D19-4356-B7D2-DE74BA831B92}"/>
            </c:ext>
          </c:extLst>
        </c:ser>
        <c:ser>
          <c:idx val="2"/>
          <c:order val="2"/>
          <c:tx>
            <c:strRef>
              <c:f>גיליון1!$D$1</c:f>
              <c:strCache>
                <c:ptCount val="1"/>
                <c:pt idx="0">
                  <c:v>Don’t know</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Jews</c:v>
                </c:pt>
                <c:pt idx="1">
                  <c:v>Arabs</c:v>
                </c:pt>
              </c:strCache>
            </c:strRef>
          </c:cat>
          <c:val>
            <c:numRef>
              <c:f>גיליון1!$D$2:$D$3</c:f>
              <c:numCache>
                <c:formatCode>General</c:formatCode>
                <c:ptCount val="2"/>
                <c:pt idx="0">
                  <c:v>11</c:v>
                </c:pt>
                <c:pt idx="1">
                  <c:v>35</c:v>
                </c:pt>
              </c:numCache>
            </c:numRef>
          </c:val>
          <c:extLst>
            <c:ext xmlns:c16="http://schemas.microsoft.com/office/drawing/2014/chart" uri="{C3380CC4-5D6E-409C-BE32-E72D297353CC}">
              <c16:uniqueId val="{00000002-3D19-4356-B7D2-DE74BA831B92}"/>
            </c:ext>
          </c:extLst>
        </c:ser>
        <c:dLbls>
          <c:dLblPos val="ctr"/>
          <c:showLegendKey val="0"/>
          <c:showVal val="1"/>
          <c:showCatName val="0"/>
          <c:showSerName val="0"/>
          <c:showPercent val="0"/>
          <c:showBubbleSize val="0"/>
        </c:dLbls>
        <c:gapWidth val="150"/>
        <c:overlap val="100"/>
        <c:axId val="1423851615"/>
        <c:axId val="1404423904"/>
      </c:barChart>
      <c:catAx>
        <c:axId val="142385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404423904"/>
        <c:crosses val="autoZero"/>
        <c:auto val="1"/>
        <c:lblAlgn val="ctr"/>
        <c:lblOffset val="100"/>
        <c:noMultiLvlLbl val="0"/>
      </c:catAx>
      <c:valAx>
        <c:axId val="14044239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423851615"/>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1005</Words>
  <Characters>5029</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2024-02-05T12:15:00Z</cp:lastPrinted>
  <dcterms:created xsi:type="dcterms:W3CDTF">2024-02-06T07:37:00Z</dcterms:created>
  <dcterms:modified xsi:type="dcterms:W3CDTF">2024-02-06T07:44:00Z</dcterms:modified>
</cp:coreProperties>
</file>