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A0556" w14:textId="3AADBE21" w:rsidR="000E274C" w:rsidRDefault="00162267" w:rsidP="00162267">
      <w:pPr>
        <w:bidi w:val="0"/>
        <w:jc w:val="center"/>
        <w:rPr>
          <w:b/>
          <w:bCs/>
          <w:sz w:val="24"/>
          <w:szCs w:val="24"/>
        </w:rPr>
      </w:pPr>
      <w:bookmarkStart w:id="0" w:name="_Hlk164627147"/>
      <w:r>
        <w:rPr>
          <w:b/>
          <w:bCs/>
          <w:sz w:val="24"/>
          <w:szCs w:val="24"/>
        </w:rPr>
        <w:t>Press Release</w:t>
      </w:r>
    </w:p>
    <w:p w14:paraId="6F6909C0" w14:textId="2BA7EB09" w:rsidR="00DC696E" w:rsidRDefault="00162267" w:rsidP="00DC696E">
      <w:pPr>
        <w:bidi w:val="0"/>
        <w:jc w:val="center"/>
        <w:rPr>
          <w:b/>
          <w:bCs/>
          <w:sz w:val="24"/>
          <w:szCs w:val="24"/>
        </w:rPr>
      </w:pPr>
      <w:r>
        <w:rPr>
          <w:b/>
          <w:bCs/>
          <w:sz w:val="24"/>
          <w:szCs w:val="24"/>
        </w:rPr>
        <w:t xml:space="preserve">War in Gaza Survey </w:t>
      </w:r>
      <w:r w:rsidR="00DC696E">
        <w:rPr>
          <w:b/>
          <w:bCs/>
          <w:sz w:val="24"/>
          <w:szCs w:val="24"/>
        </w:rPr>
        <w:t>15</w:t>
      </w:r>
    </w:p>
    <w:p w14:paraId="54C722B3" w14:textId="5FDE154C" w:rsidR="00A628CA" w:rsidRDefault="00A628CA" w:rsidP="00A628CA">
      <w:pPr>
        <w:bidi w:val="0"/>
        <w:rPr>
          <w:b/>
          <w:bCs/>
          <w:sz w:val="32"/>
          <w:szCs w:val="32"/>
        </w:rPr>
      </w:pPr>
      <w:bookmarkStart w:id="1" w:name="_Hlk156993847"/>
      <w:r w:rsidRPr="00A628CA">
        <w:rPr>
          <w:b/>
          <w:bCs/>
          <w:sz w:val="32"/>
          <w:szCs w:val="32"/>
        </w:rPr>
        <w:t>Israelis say the time has come for those responsible for Oct</w:t>
      </w:r>
      <w:r w:rsidR="004267F5">
        <w:rPr>
          <w:b/>
          <w:bCs/>
          <w:sz w:val="32"/>
          <w:szCs w:val="32"/>
        </w:rPr>
        <w:t>ober</w:t>
      </w:r>
      <w:r w:rsidRPr="00A628CA">
        <w:rPr>
          <w:b/>
          <w:bCs/>
          <w:sz w:val="32"/>
          <w:szCs w:val="32"/>
        </w:rPr>
        <w:t xml:space="preserve"> 7 to step </w:t>
      </w:r>
      <w:proofErr w:type="gramStart"/>
      <w:r w:rsidRPr="00A628CA">
        <w:rPr>
          <w:b/>
          <w:bCs/>
          <w:sz w:val="32"/>
          <w:szCs w:val="32"/>
        </w:rPr>
        <w:t>down</w:t>
      </w:r>
      <w:proofErr w:type="gramEnd"/>
    </w:p>
    <w:p w14:paraId="6864B6F8" w14:textId="77777777" w:rsidR="00AF50E9" w:rsidRDefault="00AF50E9" w:rsidP="00AF50E9">
      <w:pPr>
        <w:bidi w:val="0"/>
        <w:rPr>
          <w:sz w:val="24"/>
          <w:szCs w:val="24"/>
        </w:rPr>
      </w:pPr>
      <w:r w:rsidRPr="00B23029">
        <w:rPr>
          <w:sz w:val="24"/>
          <w:szCs w:val="24"/>
        </w:rPr>
        <w:t>The Israel Democracy Institute</w:t>
      </w:r>
      <w:r>
        <w:rPr>
          <w:sz w:val="24"/>
          <w:szCs w:val="24"/>
        </w:rPr>
        <w:t xml:space="preserve"> released its fifteenth</w:t>
      </w:r>
      <w:r w:rsidRPr="00B23029">
        <w:rPr>
          <w:sz w:val="24"/>
          <w:szCs w:val="24"/>
        </w:rPr>
        <w:t xml:space="preserve"> War in Gaza survey, </w:t>
      </w:r>
      <w:r>
        <w:rPr>
          <w:sz w:val="24"/>
          <w:szCs w:val="24"/>
        </w:rPr>
        <w:t xml:space="preserve">part of </w:t>
      </w:r>
      <w:r w:rsidRPr="00B23029">
        <w:rPr>
          <w:sz w:val="24"/>
          <w:szCs w:val="24"/>
        </w:rPr>
        <w:t xml:space="preserve">a special series </w:t>
      </w:r>
      <w:r>
        <w:rPr>
          <w:sz w:val="24"/>
          <w:szCs w:val="24"/>
        </w:rPr>
        <w:t xml:space="preserve">of polls </w:t>
      </w:r>
      <w:r w:rsidRPr="00B23029">
        <w:rPr>
          <w:sz w:val="24"/>
          <w:szCs w:val="24"/>
        </w:rPr>
        <w:t>conducted by our Viterbi Family Center for Public Opinion and Policy Research</w:t>
      </w:r>
      <w:r>
        <w:rPr>
          <w:sz w:val="24"/>
          <w:szCs w:val="24"/>
        </w:rPr>
        <w:t xml:space="preserve">. </w:t>
      </w:r>
    </w:p>
    <w:p w14:paraId="0D712596" w14:textId="647B4721" w:rsidR="00AF50E9" w:rsidRDefault="00AF50E9" w:rsidP="00AF50E9">
      <w:pPr>
        <w:bidi w:val="0"/>
        <w:rPr>
          <w:sz w:val="24"/>
          <w:szCs w:val="24"/>
        </w:rPr>
      </w:pPr>
      <w:r>
        <w:rPr>
          <w:sz w:val="24"/>
          <w:szCs w:val="24"/>
        </w:rPr>
        <w:t>After more than six months of war, we found that a</w:t>
      </w:r>
      <w:r w:rsidRPr="006D1740">
        <w:rPr>
          <w:sz w:val="24"/>
          <w:szCs w:val="24"/>
        </w:rPr>
        <w:t>mong both Jew</w:t>
      </w:r>
      <w:r>
        <w:rPr>
          <w:sz w:val="24"/>
          <w:szCs w:val="24"/>
        </w:rPr>
        <w:t>ish</w:t>
      </w:r>
      <w:r>
        <w:rPr>
          <w:sz w:val="24"/>
          <w:szCs w:val="24"/>
        </w:rPr>
        <w:t xml:space="preserve"> (58%)</w:t>
      </w:r>
      <w:r w:rsidRPr="006D1740">
        <w:rPr>
          <w:sz w:val="24"/>
          <w:szCs w:val="24"/>
        </w:rPr>
        <w:t xml:space="preserve"> and Arab</w:t>
      </w:r>
      <w:r>
        <w:rPr>
          <w:sz w:val="24"/>
          <w:szCs w:val="24"/>
        </w:rPr>
        <w:t xml:space="preserve"> Israelis </w:t>
      </w:r>
      <w:r>
        <w:rPr>
          <w:sz w:val="24"/>
          <w:szCs w:val="24"/>
        </w:rPr>
        <w:t xml:space="preserve">(81%) </w:t>
      </w:r>
      <w:r>
        <w:rPr>
          <w:sz w:val="24"/>
          <w:szCs w:val="24"/>
        </w:rPr>
        <w:t xml:space="preserve">there is </w:t>
      </w:r>
      <w:r w:rsidRPr="006D1740">
        <w:rPr>
          <w:sz w:val="24"/>
          <w:szCs w:val="24"/>
        </w:rPr>
        <w:t>widespread agreement that</w:t>
      </w:r>
      <w:r w:rsidRPr="006D1740">
        <w:t xml:space="preserve"> </w:t>
      </w:r>
      <w:r w:rsidRPr="006D1740">
        <w:rPr>
          <w:sz w:val="24"/>
          <w:szCs w:val="24"/>
        </w:rPr>
        <w:t xml:space="preserve">now that </w:t>
      </w:r>
      <w:proofErr w:type="gramStart"/>
      <w:r w:rsidRPr="006D1740">
        <w:rPr>
          <w:sz w:val="24"/>
          <w:szCs w:val="24"/>
        </w:rPr>
        <w:t>the majority of</w:t>
      </w:r>
      <w:proofErr w:type="gramEnd"/>
      <w:r w:rsidRPr="006D1740">
        <w:rPr>
          <w:sz w:val="24"/>
          <w:szCs w:val="24"/>
        </w:rPr>
        <w:t xml:space="preserve"> Israeli forces have left the Gaza Strip, the time has come for those who were responsible for the failure of October 7 to resign from their positions</w:t>
      </w:r>
      <w:r>
        <w:rPr>
          <w:sz w:val="24"/>
          <w:szCs w:val="24"/>
        </w:rPr>
        <w:t xml:space="preserve">. Among Jewish Israelis, </w:t>
      </w:r>
      <w:r w:rsidRPr="006D1740">
        <w:rPr>
          <w:sz w:val="24"/>
          <w:szCs w:val="24"/>
        </w:rPr>
        <w:t>while a decisive majority of those on the Left</w:t>
      </w:r>
      <w:r>
        <w:rPr>
          <w:sz w:val="24"/>
          <w:szCs w:val="24"/>
        </w:rPr>
        <w:t xml:space="preserve"> (84%)</w:t>
      </w:r>
      <w:r w:rsidRPr="006D1740">
        <w:rPr>
          <w:sz w:val="24"/>
          <w:szCs w:val="24"/>
        </w:rPr>
        <w:t xml:space="preserve"> and in the Center</w:t>
      </w:r>
      <w:r>
        <w:rPr>
          <w:sz w:val="24"/>
          <w:szCs w:val="24"/>
        </w:rPr>
        <w:t xml:space="preserve"> (80%)</w:t>
      </w:r>
      <w:r w:rsidRPr="006D1740">
        <w:rPr>
          <w:sz w:val="24"/>
          <w:szCs w:val="24"/>
        </w:rPr>
        <w:t xml:space="preserve"> think that those responsible for the failure should resign now, less than half of those on the Right</w:t>
      </w:r>
      <w:r>
        <w:rPr>
          <w:sz w:val="24"/>
          <w:szCs w:val="24"/>
        </w:rPr>
        <w:t xml:space="preserve"> (44%)</w:t>
      </w:r>
      <w:r w:rsidRPr="006D1740">
        <w:rPr>
          <w:sz w:val="24"/>
          <w:szCs w:val="24"/>
        </w:rPr>
        <w:t xml:space="preserve"> hold the same view.</w:t>
      </w:r>
    </w:p>
    <w:p w14:paraId="437F807D" w14:textId="77777777" w:rsidR="00AF50E9" w:rsidRPr="00AF50E9" w:rsidRDefault="00AF50E9" w:rsidP="00AF50E9">
      <w:pPr>
        <w:bidi w:val="0"/>
      </w:pPr>
    </w:p>
    <w:bookmarkEnd w:id="1"/>
    <w:p w14:paraId="3A7C12E4" w14:textId="6EB0AD53" w:rsidR="00335C26" w:rsidRDefault="00335C26" w:rsidP="00335C26">
      <w:pPr>
        <w:bidi w:val="0"/>
        <w:rPr>
          <w:b/>
          <w:bCs/>
          <w:sz w:val="24"/>
          <w:szCs w:val="24"/>
        </w:rPr>
      </w:pPr>
      <w:r>
        <w:rPr>
          <w:b/>
          <w:bCs/>
          <w:sz w:val="24"/>
          <w:szCs w:val="24"/>
        </w:rPr>
        <w:t>Additional findings</w:t>
      </w:r>
    </w:p>
    <w:p w14:paraId="2206B21C" w14:textId="773FE6B9" w:rsidR="00AF50E9" w:rsidRPr="00AF50E9" w:rsidRDefault="00AF50E9" w:rsidP="00AF50E9">
      <w:pPr>
        <w:bidi w:val="0"/>
        <w:rPr>
          <w:b/>
          <w:bCs/>
          <w:color w:val="4472C4" w:themeColor="accent1"/>
          <w:sz w:val="24"/>
          <w:szCs w:val="24"/>
        </w:rPr>
      </w:pPr>
      <w:r w:rsidRPr="00AF50E9">
        <w:rPr>
          <w:b/>
          <w:bCs/>
          <w:color w:val="4472C4" w:themeColor="accent1"/>
          <w:sz w:val="24"/>
          <w:szCs w:val="24"/>
        </w:rPr>
        <w:t>Overwhelming Majority of Jewish Israelis: Eliminating Iranian Commander in Damascus was the Right Thing to Do</w:t>
      </w:r>
    </w:p>
    <w:p w14:paraId="407214B6" w14:textId="76833149" w:rsidR="00AF50E9" w:rsidRDefault="00AF50E9" w:rsidP="00AF50E9">
      <w:pPr>
        <w:bidi w:val="0"/>
        <w:rPr>
          <w:sz w:val="24"/>
          <w:szCs w:val="24"/>
        </w:rPr>
      </w:pPr>
      <w:r>
        <w:rPr>
          <w:sz w:val="24"/>
          <w:szCs w:val="24"/>
        </w:rPr>
        <w:t>When asked whether, in retrospect,</w:t>
      </w:r>
      <w:r>
        <w:rPr>
          <w:sz w:val="24"/>
          <w:szCs w:val="24"/>
        </w:rPr>
        <w:t xml:space="preserve"> and </w:t>
      </w:r>
      <w:proofErr w:type="gramStart"/>
      <w:r>
        <w:rPr>
          <w:sz w:val="24"/>
          <w:szCs w:val="24"/>
        </w:rPr>
        <w:t>in light of</w:t>
      </w:r>
      <w:proofErr w:type="gramEnd"/>
      <w:r>
        <w:rPr>
          <w:sz w:val="24"/>
          <w:szCs w:val="24"/>
        </w:rPr>
        <w:t xml:space="preserve"> the severe Iranian response,</w:t>
      </w:r>
      <w:r>
        <w:rPr>
          <w:sz w:val="24"/>
          <w:szCs w:val="24"/>
        </w:rPr>
        <w:t xml:space="preserve"> Israel was correct to reportedly have eliminated an Iranian commander in Damascus,</w:t>
      </w:r>
      <w:r>
        <w:rPr>
          <w:sz w:val="24"/>
          <w:szCs w:val="24"/>
        </w:rPr>
        <w:t xml:space="preserve"> 80% of Jewish Israelis think this was the </w:t>
      </w:r>
      <w:r w:rsidRPr="00EC7CD7">
        <w:rPr>
          <w:sz w:val="24"/>
          <w:szCs w:val="24"/>
          <w:u w:val="single"/>
        </w:rPr>
        <w:t>right</w:t>
      </w:r>
      <w:r>
        <w:rPr>
          <w:sz w:val="24"/>
          <w:szCs w:val="24"/>
        </w:rPr>
        <w:t xml:space="preserve"> course of action, while among Arab Israelis, 67% think it was the </w:t>
      </w:r>
      <w:r w:rsidRPr="00EC7CD7">
        <w:rPr>
          <w:sz w:val="24"/>
          <w:szCs w:val="24"/>
          <w:u w:val="single"/>
        </w:rPr>
        <w:t>wrong</w:t>
      </w:r>
      <w:r>
        <w:rPr>
          <w:sz w:val="24"/>
          <w:szCs w:val="24"/>
        </w:rPr>
        <w:t xml:space="preserve"> course of action. A</w:t>
      </w:r>
      <w:r>
        <w:rPr>
          <w:sz w:val="24"/>
          <w:szCs w:val="24"/>
        </w:rPr>
        <w:t xml:space="preserve"> large majority of the Right (90.5%) and Center (77%) of the political spectrum think it was the correct decision, while on the Left, a large minority (45%) support the decision. </w:t>
      </w:r>
    </w:p>
    <w:p w14:paraId="04CE8762" w14:textId="77777777" w:rsidR="00AF50E9" w:rsidRDefault="00AF50E9" w:rsidP="00AF50E9">
      <w:pPr>
        <w:bidi w:val="0"/>
        <w:rPr>
          <w:b/>
          <w:bCs/>
        </w:rPr>
      </w:pPr>
      <w:r w:rsidRPr="004E62BC">
        <w:rPr>
          <w:b/>
          <w:bCs/>
        </w:rPr>
        <w:t>T</w:t>
      </w:r>
      <w:r>
        <w:rPr>
          <w:b/>
          <w:bCs/>
        </w:rPr>
        <w:t>hink that</w:t>
      </w:r>
      <w:r w:rsidRPr="004E62BC">
        <w:rPr>
          <w:b/>
          <w:bCs/>
        </w:rPr>
        <w:t xml:space="preserve"> </w:t>
      </w:r>
      <w:r>
        <w:rPr>
          <w:b/>
          <w:bCs/>
        </w:rPr>
        <w:t>the decision to kill the Iranian commander in Damascus was correct (Jewish sample, by political orientation; %)</w:t>
      </w:r>
    </w:p>
    <w:p w14:paraId="022C641E" w14:textId="77777777" w:rsidR="00AF50E9" w:rsidRDefault="00AF50E9" w:rsidP="00AF50E9">
      <w:r>
        <w:rPr>
          <w:rFonts w:ascii="David" w:hAnsi="David" w:cs="David"/>
          <w:noProof/>
          <w:rtl/>
          <w:lang w:val="he-IL"/>
        </w:rPr>
        <w:drawing>
          <wp:inline distT="0" distB="0" distL="0" distR="0" wp14:anchorId="7C097822" wp14:editId="1252BB20">
            <wp:extent cx="5274310" cy="2063713"/>
            <wp:effectExtent l="0" t="0" r="2540" b="13335"/>
            <wp:docPr id="97688889" name="תרשים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186A0AA" w14:textId="77777777" w:rsidR="00AF50E9" w:rsidRDefault="00AF50E9" w:rsidP="00AF50E9">
      <w:pPr>
        <w:bidi w:val="0"/>
        <w:rPr>
          <w:sz w:val="24"/>
          <w:szCs w:val="24"/>
          <w:rtl/>
        </w:rPr>
      </w:pPr>
    </w:p>
    <w:p w14:paraId="5FC73B9B" w14:textId="2E57EF02" w:rsidR="00AF50E9" w:rsidRPr="00AF50E9" w:rsidRDefault="00004821" w:rsidP="00AF50E9">
      <w:pPr>
        <w:bidi w:val="0"/>
        <w:rPr>
          <w:b/>
          <w:bCs/>
          <w:color w:val="4472C4" w:themeColor="accent1"/>
          <w:sz w:val="24"/>
          <w:szCs w:val="24"/>
        </w:rPr>
      </w:pPr>
      <w:r>
        <w:rPr>
          <w:b/>
          <w:bCs/>
          <w:color w:val="4472C4" w:themeColor="accent1"/>
          <w:sz w:val="24"/>
          <w:szCs w:val="24"/>
        </w:rPr>
        <w:t>Against backdrop of international</w:t>
      </w:r>
      <w:r w:rsidR="00AF50E9">
        <w:rPr>
          <w:b/>
          <w:bCs/>
          <w:color w:val="4472C4" w:themeColor="accent1"/>
          <w:sz w:val="24"/>
          <w:szCs w:val="24"/>
        </w:rPr>
        <w:t xml:space="preserve"> cooperation repelling Iran</w:t>
      </w:r>
      <w:r>
        <w:rPr>
          <w:b/>
          <w:bCs/>
          <w:color w:val="4472C4" w:themeColor="accent1"/>
          <w:sz w:val="24"/>
          <w:szCs w:val="24"/>
        </w:rPr>
        <w:t xml:space="preserve">, Israelis remain against establishment of Palestinian </w:t>
      </w:r>
      <w:proofErr w:type="gramStart"/>
      <w:r>
        <w:rPr>
          <w:b/>
          <w:bCs/>
          <w:color w:val="4472C4" w:themeColor="accent1"/>
          <w:sz w:val="24"/>
          <w:szCs w:val="24"/>
        </w:rPr>
        <w:t>state</w:t>
      </w:r>
      <w:proofErr w:type="gramEnd"/>
    </w:p>
    <w:p w14:paraId="7391556B" w14:textId="7B75583E" w:rsidR="00AF50E9" w:rsidRDefault="00AF50E9" w:rsidP="00AF50E9">
      <w:pPr>
        <w:bidi w:val="0"/>
        <w:rPr>
          <w:sz w:val="24"/>
          <w:szCs w:val="24"/>
        </w:rPr>
      </w:pPr>
      <w:r>
        <w:rPr>
          <w:sz w:val="24"/>
          <w:szCs w:val="24"/>
        </w:rPr>
        <w:t xml:space="preserve">Against the backdrop of the vast international cooperation in repelling the Iranian attack against Israel, we asked whether Israel should agree in principle to the establishment of a future Palestinian state in return for a regional defense agreement. A small minority of Jewish Israelis (26%) and a large majority of Arab Israelis (74%) say they support such an arrangement. Support among Jewish Israelis varies across the political Left (69%), Center (32%) and Right (14.5%). </w:t>
      </w:r>
    </w:p>
    <w:p w14:paraId="0AA46631" w14:textId="642FB63B" w:rsidR="006D1740" w:rsidRPr="006D1740" w:rsidRDefault="006D1740" w:rsidP="006D1740">
      <w:pPr>
        <w:bidi w:val="0"/>
        <w:rPr>
          <w:b/>
          <w:bCs/>
          <w:color w:val="4472C4" w:themeColor="accent1"/>
          <w:sz w:val="24"/>
          <w:szCs w:val="24"/>
        </w:rPr>
      </w:pPr>
      <w:r>
        <w:rPr>
          <w:b/>
          <w:bCs/>
          <w:color w:val="4472C4" w:themeColor="accent1"/>
          <w:sz w:val="24"/>
          <w:szCs w:val="24"/>
        </w:rPr>
        <w:t xml:space="preserve">Most Israelis think elections should be called </w:t>
      </w:r>
      <w:proofErr w:type="gramStart"/>
      <w:r>
        <w:rPr>
          <w:b/>
          <w:bCs/>
          <w:color w:val="4472C4" w:themeColor="accent1"/>
          <w:sz w:val="24"/>
          <w:szCs w:val="24"/>
        </w:rPr>
        <w:t>early</w:t>
      </w:r>
      <w:proofErr w:type="gramEnd"/>
    </w:p>
    <w:p w14:paraId="0EE99A8C" w14:textId="7715C062" w:rsidR="006D1740" w:rsidRDefault="006D1740" w:rsidP="006D1740">
      <w:pPr>
        <w:bidi w:val="0"/>
        <w:rPr>
          <w:sz w:val="24"/>
          <w:szCs w:val="24"/>
        </w:rPr>
      </w:pPr>
      <w:r w:rsidRPr="006D1740">
        <w:rPr>
          <w:sz w:val="24"/>
          <w:szCs w:val="24"/>
        </w:rPr>
        <w:t xml:space="preserve">Just as a majority think that the time has come for those responsible for the failure of October 7 to resign, </w:t>
      </w:r>
      <w:proofErr w:type="gramStart"/>
      <w:r w:rsidRPr="006D1740">
        <w:rPr>
          <w:sz w:val="24"/>
          <w:szCs w:val="24"/>
        </w:rPr>
        <w:t>it would seem that there</w:t>
      </w:r>
      <w:proofErr w:type="gramEnd"/>
      <w:r w:rsidRPr="006D1740">
        <w:rPr>
          <w:sz w:val="24"/>
          <w:szCs w:val="24"/>
        </w:rPr>
        <w:t xml:space="preserve"> is also a clear preference for </w:t>
      </w:r>
      <w:r w:rsidR="003B232F">
        <w:rPr>
          <w:sz w:val="24"/>
          <w:szCs w:val="24"/>
        </w:rPr>
        <w:t xml:space="preserve">early </w:t>
      </w:r>
      <w:r w:rsidRPr="006D1740">
        <w:rPr>
          <w:sz w:val="24"/>
          <w:szCs w:val="24"/>
        </w:rPr>
        <w:t xml:space="preserve">elections to be </w:t>
      </w:r>
      <w:r w:rsidR="003B232F">
        <w:rPr>
          <w:sz w:val="24"/>
          <w:szCs w:val="24"/>
        </w:rPr>
        <w:t>set</w:t>
      </w:r>
      <w:r w:rsidRPr="006D1740">
        <w:rPr>
          <w:sz w:val="24"/>
          <w:szCs w:val="24"/>
        </w:rPr>
        <w:t xml:space="preserve">. Following the call from Minister Benny Gantz for elections to be held this September, we asked the public for its view on this issue. </w:t>
      </w:r>
      <w:r>
        <w:rPr>
          <w:sz w:val="24"/>
          <w:szCs w:val="24"/>
        </w:rPr>
        <w:t>Overall</w:t>
      </w:r>
      <w:r w:rsidRPr="006D1740">
        <w:rPr>
          <w:sz w:val="24"/>
          <w:szCs w:val="24"/>
        </w:rPr>
        <w:t xml:space="preserve">, half </w:t>
      </w:r>
      <w:r>
        <w:rPr>
          <w:sz w:val="24"/>
          <w:szCs w:val="24"/>
        </w:rPr>
        <w:t xml:space="preserve">of Israelis </w:t>
      </w:r>
      <w:r w:rsidRPr="006D1740">
        <w:rPr>
          <w:sz w:val="24"/>
          <w:szCs w:val="24"/>
        </w:rPr>
        <w:t xml:space="preserve">(51%) agree that elections should be held before the end of 2024, a quarter think that they should be held as scheduled (in 2026), and </w:t>
      </w:r>
      <w:r>
        <w:rPr>
          <w:sz w:val="24"/>
          <w:szCs w:val="24"/>
        </w:rPr>
        <w:t>15% think</w:t>
      </w:r>
      <w:r w:rsidRPr="006D1740">
        <w:rPr>
          <w:sz w:val="24"/>
          <w:szCs w:val="24"/>
        </w:rPr>
        <w:t xml:space="preserve"> that elections should be held during 2025.</w:t>
      </w:r>
    </w:p>
    <w:p w14:paraId="4F578552" w14:textId="77777777" w:rsidR="0002227D" w:rsidRDefault="0002227D" w:rsidP="0002227D">
      <w:pPr>
        <w:bidi w:val="0"/>
        <w:rPr>
          <w:b/>
          <w:bCs/>
          <w:color w:val="4472C4" w:themeColor="accent1"/>
          <w:sz w:val="24"/>
          <w:szCs w:val="24"/>
        </w:rPr>
      </w:pPr>
      <w:r>
        <w:rPr>
          <w:b/>
          <w:bCs/>
          <w:color w:val="4472C4" w:themeColor="accent1"/>
          <w:sz w:val="24"/>
          <w:szCs w:val="24"/>
        </w:rPr>
        <w:t>Highest rate of Israelis: international forces should run Gaza the day after</w:t>
      </w:r>
    </w:p>
    <w:p w14:paraId="6BA27945" w14:textId="77777777" w:rsidR="0002227D" w:rsidRDefault="0002227D" w:rsidP="0002227D">
      <w:pPr>
        <w:bidi w:val="0"/>
        <w:rPr>
          <w:sz w:val="24"/>
          <w:szCs w:val="24"/>
        </w:rPr>
      </w:pPr>
      <w:r>
        <w:rPr>
          <w:sz w:val="24"/>
          <w:szCs w:val="24"/>
        </w:rPr>
        <w:t>When asked what should happen in Gaza the day after the war, a</w:t>
      </w:r>
      <w:r w:rsidRPr="00CE00CF">
        <w:rPr>
          <w:sz w:val="24"/>
          <w:szCs w:val="24"/>
        </w:rPr>
        <w:t xml:space="preserve">lmost half of </w:t>
      </w:r>
      <w:r>
        <w:rPr>
          <w:sz w:val="24"/>
          <w:szCs w:val="24"/>
        </w:rPr>
        <w:t>Israelis</w:t>
      </w:r>
      <w:r w:rsidRPr="00CE00CF">
        <w:rPr>
          <w:sz w:val="24"/>
          <w:szCs w:val="24"/>
        </w:rPr>
        <w:t xml:space="preserve"> think that Israel should hand over control of </w:t>
      </w:r>
      <w:r>
        <w:rPr>
          <w:sz w:val="24"/>
          <w:szCs w:val="24"/>
        </w:rPr>
        <w:t xml:space="preserve">Gaza </w:t>
      </w:r>
      <w:r w:rsidRPr="00CE00CF">
        <w:rPr>
          <w:sz w:val="24"/>
          <w:szCs w:val="24"/>
        </w:rPr>
        <w:t xml:space="preserve">to an international force or to the Palestinian Authority, around a quarter that Israel should maintain a limited military presence </w:t>
      </w:r>
      <w:proofErr w:type="gramStart"/>
      <w:r w:rsidRPr="00CE00CF">
        <w:rPr>
          <w:sz w:val="24"/>
          <w:szCs w:val="24"/>
        </w:rPr>
        <w:t>in order to</w:t>
      </w:r>
      <w:proofErr w:type="gramEnd"/>
      <w:r w:rsidRPr="00CE00CF">
        <w:rPr>
          <w:sz w:val="24"/>
          <w:szCs w:val="24"/>
        </w:rPr>
        <w:t xml:space="preserve"> control Gaza militarily, and a small minority (19%) support establishing Jewish settlements in Gaza</w:t>
      </w:r>
      <w:r w:rsidRPr="00CE00CF">
        <w:rPr>
          <w:rFonts w:cs="Arial"/>
          <w:sz w:val="24"/>
          <w:szCs w:val="24"/>
          <w:rtl/>
        </w:rPr>
        <w:t>.</w:t>
      </w:r>
      <w:r>
        <w:rPr>
          <w:sz w:val="24"/>
          <w:szCs w:val="24"/>
        </w:rPr>
        <w:t xml:space="preserve"> As shown in the graph below, responses differ across the political spectrum and between Jewish and Arab Israelis. When it comes to rebuilding Gaza after the war, 13% of Jewish Israelis and 63% of Arab Israelis support Israel's participation in these efforts.</w:t>
      </w:r>
    </w:p>
    <w:p w14:paraId="53134E24" w14:textId="77777777" w:rsidR="0002227D" w:rsidRPr="00D841FF" w:rsidRDefault="0002227D" w:rsidP="0002227D">
      <w:pPr>
        <w:bidi w:val="0"/>
        <w:rPr>
          <w:b/>
          <w:bCs/>
        </w:rPr>
      </w:pPr>
      <w:r w:rsidRPr="00D841FF">
        <w:rPr>
          <w:b/>
          <w:bCs/>
        </w:rPr>
        <w:t>In your opinion, now that most of the IDF forces have left Gaza, what should Israel do?</w:t>
      </w:r>
      <w:r>
        <w:rPr>
          <w:b/>
          <w:bCs/>
        </w:rPr>
        <w:t xml:space="preserve"> (%)</w:t>
      </w:r>
    </w:p>
    <w:p w14:paraId="26A9A182" w14:textId="77777777" w:rsidR="0002227D" w:rsidRDefault="0002227D" w:rsidP="0002227D">
      <w:r w:rsidRPr="00217A45">
        <w:rPr>
          <w:rFonts w:ascii="David" w:hAnsi="David" w:cs="David"/>
          <w:noProof/>
        </w:rPr>
        <w:drawing>
          <wp:inline distT="0" distB="0" distL="0" distR="0" wp14:anchorId="54A5B751" wp14:editId="74767604">
            <wp:extent cx="5462546" cy="3437255"/>
            <wp:effectExtent l="0" t="0" r="5080" b="10795"/>
            <wp:docPr id="272346724" name="Chart 1">
              <a:extLst xmlns:a="http://schemas.openxmlformats.org/drawingml/2006/main">
                <a:ext uri="{FF2B5EF4-FFF2-40B4-BE49-F238E27FC236}">
                  <a16:creationId xmlns:a16="http://schemas.microsoft.com/office/drawing/2014/main" id="{8491CDC5-00D4-673B-266D-95D54C52DF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744A69" w14:textId="77777777" w:rsidR="0002227D" w:rsidRDefault="0002227D" w:rsidP="00CE00CF">
      <w:pPr>
        <w:bidi w:val="0"/>
        <w:rPr>
          <w:b/>
          <w:bCs/>
          <w:color w:val="4472C4" w:themeColor="accent1"/>
          <w:sz w:val="24"/>
          <w:szCs w:val="24"/>
        </w:rPr>
      </w:pPr>
    </w:p>
    <w:p w14:paraId="5CE5E56D" w14:textId="7659F0B5" w:rsidR="00CE00CF" w:rsidRPr="00CE00CF" w:rsidRDefault="00CE00CF" w:rsidP="0002227D">
      <w:pPr>
        <w:bidi w:val="0"/>
        <w:rPr>
          <w:b/>
          <w:bCs/>
          <w:color w:val="4472C4" w:themeColor="accent1"/>
          <w:sz w:val="24"/>
          <w:szCs w:val="24"/>
        </w:rPr>
      </w:pPr>
      <w:r>
        <w:rPr>
          <w:b/>
          <w:bCs/>
          <w:color w:val="4472C4" w:themeColor="accent1"/>
          <w:sz w:val="24"/>
          <w:szCs w:val="24"/>
        </w:rPr>
        <w:t xml:space="preserve">Israelis divided on the effect of hostage families joining anti-government </w:t>
      </w:r>
      <w:proofErr w:type="gramStart"/>
      <w:r>
        <w:rPr>
          <w:b/>
          <w:bCs/>
          <w:color w:val="4472C4" w:themeColor="accent1"/>
          <w:sz w:val="24"/>
          <w:szCs w:val="24"/>
        </w:rPr>
        <w:t>protests</w:t>
      </w:r>
      <w:proofErr w:type="gramEnd"/>
    </w:p>
    <w:p w14:paraId="5428C1F9" w14:textId="47D4334C" w:rsidR="00CE00CF" w:rsidRPr="006D1740" w:rsidRDefault="00CE00CF" w:rsidP="00CE00CF">
      <w:pPr>
        <w:bidi w:val="0"/>
        <w:rPr>
          <w:sz w:val="24"/>
          <w:szCs w:val="24"/>
        </w:rPr>
      </w:pPr>
      <w:r w:rsidRPr="00CE00CF">
        <w:rPr>
          <w:sz w:val="24"/>
          <w:szCs w:val="24"/>
        </w:rPr>
        <w:t>We asked: “In your opinion, does the fact that several families of hostages have joined the protest movement against the government increase or decrease public support for bringing the hostages home now, even if the price being demanded by Hamas is very high?” In the total sample, the largest share of respondents (35%) think that this development serves to decrease public support, 30% that it increases support, and 22% that it has no effect.</w:t>
      </w:r>
    </w:p>
    <w:p w14:paraId="0FEBCE9F" w14:textId="5B381549" w:rsidR="00996E9E" w:rsidRPr="00996E9E" w:rsidRDefault="00996E9E" w:rsidP="00996E9E">
      <w:pPr>
        <w:bidi w:val="0"/>
        <w:rPr>
          <w:b/>
          <w:bCs/>
          <w:color w:val="4472C4" w:themeColor="accent1"/>
          <w:sz w:val="24"/>
          <w:szCs w:val="24"/>
        </w:rPr>
      </w:pPr>
      <w:r>
        <w:rPr>
          <w:b/>
          <w:bCs/>
          <w:color w:val="4472C4" w:themeColor="accent1"/>
          <w:sz w:val="24"/>
          <w:szCs w:val="24"/>
        </w:rPr>
        <w:t xml:space="preserve">Israelis divided on whether Israel or Hamas </w:t>
      </w:r>
      <w:r w:rsidR="00102787">
        <w:rPr>
          <w:b/>
          <w:bCs/>
          <w:color w:val="4472C4" w:themeColor="accent1"/>
          <w:sz w:val="24"/>
          <w:szCs w:val="24"/>
        </w:rPr>
        <w:t>has</w:t>
      </w:r>
      <w:r>
        <w:rPr>
          <w:b/>
          <w:bCs/>
          <w:color w:val="4472C4" w:themeColor="accent1"/>
          <w:sz w:val="24"/>
          <w:szCs w:val="24"/>
        </w:rPr>
        <w:t xml:space="preserve"> the upper </w:t>
      </w:r>
      <w:proofErr w:type="gramStart"/>
      <w:r>
        <w:rPr>
          <w:b/>
          <w:bCs/>
          <w:color w:val="4472C4" w:themeColor="accent1"/>
          <w:sz w:val="24"/>
          <w:szCs w:val="24"/>
        </w:rPr>
        <w:t>hand</w:t>
      </w:r>
      <w:proofErr w:type="gramEnd"/>
    </w:p>
    <w:p w14:paraId="2E1B2DC3" w14:textId="387CB126" w:rsidR="00996E9E" w:rsidRDefault="00996E9E" w:rsidP="00996E9E">
      <w:pPr>
        <w:bidi w:val="0"/>
        <w:rPr>
          <w:sz w:val="24"/>
          <w:szCs w:val="24"/>
        </w:rPr>
      </w:pPr>
      <w:r w:rsidRPr="00996E9E">
        <w:rPr>
          <w:sz w:val="24"/>
          <w:szCs w:val="24"/>
        </w:rPr>
        <w:t xml:space="preserve">Half a year into the </w:t>
      </w:r>
      <w:r>
        <w:rPr>
          <w:sz w:val="24"/>
          <w:szCs w:val="24"/>
        </w:rPr>
        <w:t>war</w:t>
      </w:r>
      <w:r w:rsidRPr="00996E9E">
        <w:rPr>
          <w:sz w:val="24"/>
          <w:szCs w:val="24"/>
        </w:rPr>
        <w:t xml:space="preserve">, we wished to know which side the public thinks has ended up in a better situation—Israel or Hamas. The largest share of Jewish </w:t>
      </w:r>
      <w:r>
        <w:rPr>
          <w:sz w:val="24"/>
          <w:szCs w:val="24"/>
        </w:rPr>
        <w:t>Israelis</w:t>
      </w:r>
      <w:r w:rsidRPr="00996E9E">
        <w:rPr>
          <w:sz w:val="24"/>
          <w:szCs w:val="24"/>
        </w:rPr>
        <w:t xml:space="preserve"> (43%) think that Israel has done better, though this still represents less than half the sample. </w:t>
      </w:r>
      <w:r>
        <w:rPr>
          <w:sz w:val="24"/>
          <w:szCs w:val="24"/>
        </w:rPr>
        <w:t>Among Arab Israelis, on the other hand,</w:t>
      </w:r>
      <w:r w:rsidRPr="00996E9E">
        <w:rPr>
          <w:sz w:val="24"/>
          <w:szCs w:val="24"/>
        </w:rPr>
        <w:t xml:space="preserve"> more respondents think that Hamas, rather than Israel, has gained the upper hand (20% versus 14%, respectively).</w:t>
      </w:r>
    </w:p>
    <w:p w14:paraId="538B6E93" w14:textId="042FD0B8" w:rsidR="00996E9E" w:rsidRDefault="00996E9E" w:rsidP="00996E9E">
      <w:pPr>
        <w:bidi w:val="0"/>
        <w:rPr>
          <w:b/>
          <w:bCs/>
          <w:color w:val="4472C4" w:themeColor="accent1"/>
          <w:sz w:val="24"/>
          <w:szCs w:val="24"/>
        </w:rPr>
      </w:pPr>
      <w:r>
        <w:rPr>
          <w:b/>
          <w:bCs/>
          <w:color w:val="4472C4" w:themeColor="accent1"/>
          <w:sz w:val="24"/>
          <w:szCs w:val="24"/>
        </w:rPr>
        <w:t xml:space="preserve">Israelis say they see videos of destruction in </w:t>
      </w:r>
      <w:proofErr w:type="gramStart"/>
      <w:r>
        <w:rPr>
          <w:b/>
          <w:bCs/>
          <w:color w:val="4472C4" w:themeColor="accent1"/>
          <w:sz w:val="24"/>
          <w:szCs w:val="24"/>
        </w:rPr>
        <w:t>Gaza</w:t>
      </w:r>
      <w:proofErr w:type="gramEnd"/>
    </w:p>
    <w:p w14:paraId="3BEF0A3B" w14:textId="0CE97FBD" w:rsidR="00996E9E" w:rsidRDefault="00996E9E" w:rsidP="00996E9E">
      <w:pPr>
        <w:bidi w:val="0"/>
        <w:rPr>
          <w:sz w:val="24"/>
          <w:szCs w:val="24"/>
        </w:rPr>
      </w:pPr>
      <w:proofErr w:type="gramStart"/>
      <w:r>
        <w:rPr>
          <w:rFonts w:ascii="Calibri" w:hAnsi="Calibri" w:cs="Calibri"/>
          <w:sz w:val="24"/>
          <w:szCs w:val="24"/>
        </w:rPr>
        <w:t>A majority of</w:t>
      </w:r>
      <w:proofErr w:type="gramEnd"/>
      <w:r>
        <w:rPr>
          <w:rFonts w:ascii="Calibri" w:hAnsi="Calibri" w:cs="Calibri"/>
          <w:sz w:val="24"/>
          <w:szCs w:val="24"/>
        </w:rPr>
        <w:t xml:space="preserve"> Arab Israelis (68%), and an even larger majority of Jewish Israelis (87%), reported having seen a few or many pictures or videos of the widespread destruction in Gaza. Similar viewing levels were found across the political spectrum among Jews.</w:t>
      </w:r>
    </w:p>
    <w:p w14:paraId="654F9505" w14:textId="7249742E" w:rsidR="007663B2" w:rsidRDefault="007663B2" w:rsidP="007663B2">
      <w:pPr>
        <w:bidi w:val="0"/>
        <w:rPr>
          <w:b/>
          <w:bCs/>
          <w:color w:val="4472C4" w:themeColor="accent1"/>
          <w:sz w:val="24"/>
          <w:szCs w:val="24"/>
        </w:rPr>
      </w:pPr>
      <w:r>
        <w:rPr>
          <w:b/>
          <w:bCs/>
          <w:color w:val="4472C4" w:themeColor="accent1"/>
          <w:sz w:val="24"/>
          <w:szCs w:val="24"/>
        </w:rPr>
        <w:t xml:space="preserve">Low mood heading into Passover; less leisure activities planned due to </w:t>
      </w:r>
      <w:proofErr w:type="gramStart"/>
      <w:r>
        <w:rPr>
          <w:b/>
          <w:bCs/>
          <w:color w:val="4472C4" w:themeColor="accent1"/>
          <w:sz w:val="24"/>
          <w:szCs w:val="24"/>
        </w:rPr>
        <w:t>security</w:t>
      </w:r>
      <w:proofErr w:type="gramEnd"/>
    </w:p>
    <w:p w14:paraId="65D43EB9" w14:textId="392C77C5" w:rsidR="007663B2" w:rsidRDefault="007663B2" w:rsidP="00EC6183">
      <w:pPr>
        <w:bidi w:val="0"/>
        <w:rPr>
          <w:sz w:val="24"/>
          <w:szCs w:val="24"/>
        </w:rPr>
      </w:pPr>
      <w:r>
        <w:rPr>
          <w:sz w:val="24"/>
          <w:szCs w:val="24"/>
        </w:rPr>
        <w:t>Among Jewish Israelis</w:t>
      </w:r>
      <w:r w:rsidRPr="007663B2">
        <w:rPr>
          <w:sz w:val="24"/>
          <w:szCs w:val="24"/>
        </w:rPr>
        <w:t xml:space="preserve">, a clear majority of respondents say that their mood ahead of this year’s festival is worse than in previous years. Only among Haredim is there almost parity between those who described their mood as </w:t>
      </w:r>
      <w:proofErr w:type="gramStart"/>
      <w:r w:rsidRPr="007663B2">
        <w:rPr>
          <w:sz w:val="24"/>
          <w:szCs w:val="24"/>
        </w:rPr>
        <w:t>similar to</w:t>
      </w:r>
      <w:proofErr w:type="gramEnd"/>
      <w:r w:rsidRPr="007663B2">
        <w:rPr>
          <w:sz w:val="24"/>
          <w:szCs w:val="24"/>
        </w:rPr>
        <w:t xml:space="preserve"> previous years and those who described it as worse.</w:t>
      </w:r>
      <w:r w:rsidR="00EC6183">
        <w:rPr>
          <w:sz w:val="24"/>
          <w:szCs w:val="24"/>
        </w:rPr>
        <w:t xml:space="preserve"> Across all religious groups, </w:t>
      </w:r>
      <w:r w:rsidR="00EC6183" w:rsidRPr="00EC6183">
        <w:rPr>
          <w:sz w:val="24"/>
          <w:szCs w:val="24"/>
        </w:rPr>
        <w:t>the largest share of respondents say that they will be undertaking trips, hikes, visits, and leisure activities to a lesser extent during this year’s Passover due to the security situation.</w:t>
      </w:r>
    </w:p>
    <w:p w14:paraId="29E96040" w14:textId="77777777" w:rsidR="0002227D" w:rsidRDefault="0002227D" w:rsidP="0002227D">
      <w:pPr>
        <w:bidi w:val="0"/>
        <w:rPr>
          <w:b/>
          <w:bCs/>
          <w:color w:val="4472C4" w:themeColor="accent1"/>
          <w:sz w:val="24"/>
          <w:szCs w:val="24"/>
        </w:rPr>
      </w:pPr>
      <w:r>
        <w:rPr>
          <w:b/>
          <w:bCs/>
          <w:color w:val="4472C4" w:themeColor="accent1"/>
          <w:sz w:val="24"/>
          <w:szCs w:val="24"/>
        </w:rPr>
        <w:t xml:space="preserve">Jewish men most likely to say they have a high sense of personal </w:t>
      </w:r>
      <w:proofErr w:type="gramStart"/>
      <w:r>
        <w:rPr>
          <w:b/>
          <w:bCs/>
          <w:color w:val="4472C4" w:themeColor="accent1"/>
          <w:sz w:val="24"/>
          <w:szCs w:val="24"/>
        </w:rPr>
        <w:t>security</w:t>
      </w:r>
      <w:proofErr w:type="gramEnd"/>
    </w:p>
    <w:p w14:paraId="791E3E34" w14:textId="77777777" w:rsidR="0002227D" w:rsidRDefault="0002227D" w:rsidP="0002227D">
      <w:pPr>
        <w:bidi w:val="0"/>
        <w:rPr>
          <w:sz w:val="24"/>
          <w:szCs w:val="24"/>
        </w:rPr>
      </w:pPr>
      <w:r>
        <w:rPr>
          <w:sz w:val="24"/>
          <w:szCs w:val="24"/>
        </w:rPr>
        <w:t xml:space="preserve">Overall, 39% of Israelis rate their sense of personal security as fairly or very high, compared to 27% who rate their sense of personal security as fairly or very low. A higher rate of Jewish Israelis (43%) say they have a fairly or very high sense of personal security than Arab Israelis (16%). </w:t>
      </w:r>
      <w:r w:rsidRPr="00A539D3">
        <w:rPr>
          <w:sz w:val="24"/>
          <w:szCs w:val="24"/>
        </w:rPr>
        <w:t xml:space="preserve">Among both </w:t>
      </w:r>
      <w:r>
        <w:rPr>
          <w:sz w:val="24"/>
          <w:szCs w:val="24"/>
        </w:rPr>
        <w:t>Jewish and Arab Israelis</w:t>
      </w:r>
      <w:r w:rsidRPr="00A539D3">
        <w:rPr>
          <w:sz w:val="24"/>
          <w:szCs w:val="24"/>
        </w:rPr>
        <w:t xml:space="preserve">, men </w:t>
      </w:r>
      <w:r>
        <w:rPr>
          <w:sz w:val="24"/>
          <w:szCs w:val="24"/>
        </w:rPr>
        <w:t xml:space="preserve">(50% Jews; 23% Arabs) </w:t>
      </w:r>
      <w:r w:rsidRPr="00A539D3">
        <w:rPr>
          <w:sz w:val="24"/>
          <w:szCs w:val="24"/>
        </w:rPr>
        <w:t>have a higher sense of personal security than do women</w:t>
      </w:r>
      <w:r>
        <w:rPr>
          <w:sz w:val="24"/>
          <w:szCs w:val="24"/>
        </w:rPr>
        <w:t xml:space="preserve"> (36% Jews; 10% Arabs)</w:t>
      </w:r>
      <w:r w:rsidRPr="00A539D3">
        <w:rPr>
          <w:sz w:val="24"/>
          <w:szCs w:val="24"/>
        </w:rPr>
        <w:t>.</w:t>
      </w:r>
    </w:p>
    <w:p w14:paraId="21F0B200" w14:textId="77777777" w:rsidR="0002227D" w:rsidRPr="007663B2" w:rsidRDefault="0002227D" w:rsidP="0002227D">
      <w:pPr>
        <w:bidi w:val="0"/>
        <w:rPr>
          <w:sz w:val="24"/>
          <w:szCs w:val="24"/>
        </w:rPr>
      </w:pPr>
    </w:p>
    <w:p w14:paraId="3453F516" w14:textId="77777777" w:rsidR="00F24C0C" w:rsidRPr="00186227" w:rsidRDefault="00F24C0C" w:rsidP="00F24C0C">
      <w:pPr>
        <w:bidi w:val="0"/>
        <w:rPr>
          <w:i/>
          <w:iCs/>
          <w:rtl/>
        </w:rPr>
      </w:pPr>
      <w:r w:rsidRPr="00FC4EDD">
        <w:rPr>
          <w:i/>
          <w:iCs/>
        </w:rPr>
        <w:t>Th</w:t>
      </w:r>
      <w:r>
        <w:rPr>
          <w:i/>
          <w:iCs/>
        </w:rPr>
        <w:t>is fifteenth flash survey</w:t>
      </w:r>
      <w:r w:rsidRPr="00FC4EDD">
        <w:rPr>
          <w:i/>
          <w:iCs/>
        </w:rPr>
        <w:t xml:space="preserve"> </w:t>
      </w:r>
      <w:r>
        <w:rPr>
          <w:i/>
          <w:iCs/>
        </w:rPr>
        <w:t xml:space="preserve">on the war in Gaza </w:t>
      </w:r>
      <w:r w:rsidRPr="00FC4EDD">
        <w:rPr>
          <w:i/>
          <w:iCs/>
        </w:rPr>
        <w:t xml:space="preserve">was </w:t>
      </w:r>
      <w:r>
        <w:rPr>
          <w:i/>
          <w:iCs/>
        </w:rPr>
        <w:t>conducted</w:t>
      </w:r>
      <w:r w:rsidRPr="00FC4EDD">
        <w:rPr>
          <w:i/>
          <w:iCs/>
        </w:rPr>
        <w:t xml:space="preserve"> by the Viterbi Family Center for Public Opinion and Policy Research at the Israel Democracy Institute</w:t>
      </w:r>
      <w:r>
        <w:rPr>
          <w:i/>
          <w:iCs/>
        </w:rPr>
        <w:t xml:space="preserve">. Data collection was carried out </w:t>
      </w:r>
      <w:r w:rsidRPr="00FC4EDD">
        <w:rPr>
          <w:i/>
          <w:iCs/>
        </w:rPr>
        <w:t xml:space="preserve">between </w:t>
      </w:r>
      <w:r w:rsidRPr="00690CFB">
        <w:rPr>
          <w:i/>
          <w:iCs/>
        </w:rPr>
        <w:t>April 14–17</w:t>
      </w:r>
      <w:r w:rsidRPr="00FC4EDD">
        <w:rPr>
          <w:i/>
          <w:iCs/>
        </w:rPr>
        <w:t>, 202</w:t>
      </w:r>
      <w:r>
        <w:rPr>
          <w:i/>
          <w:iCs/>
        </w:rPr>
        <w:t>4</w:t>
      </w:r>
      <w:r w:rsidRPr="00FC4EDD">
        <w:rPr>
          <w:i/>
          <w:iCs/>
        </w:rPr>
        <w:t xml:space="preserve">, </w:t>
      </w:r>
      <w:r w:rsidRPr="00186227">
        <w:rPr>
          <w:i/>
          <w:iCs/>
        </w:rPr>
        <w:t xml:space="preserve">with </w:t>
      </w:r>
      <w:r>
        <w:rPr>
          <w:i/>
          <w:iCs/>
        </w:rPr>
        <w:t>514</w:t>
      </w:r>
      <w:r w:rsidRPr="00186227">
        <w:rPr>
          <w:i/>
          <w:iCs/>
        </w:rPr>
        <w:t xml:space="preserve"> men and women interviewed via </w:t>
      </w:r>
      <w:r>
        <w:rPr>
          <w:i/>
          <w:iCs/>
        </w:rPr>
        <w:t>an</w:t>
      </w:r>
      <w:r w:rsidRPr="00186227">
        <w:rPr>
          <w:i/>
          <w:iCs/>
        </w:rPr>
        <w:t xml:space="preserve"> internet</w:t>
      </w:r>
      <w:r>
        <w:rPr>
          <w:i/>
          <w:iCs/>
        </w:rPr>
        <w:t xml:space="preserve"> panel</w:t>
      </w:r>
      <w:r w:rsidRPr="00186227">
        <w:rPr>
          <w:i/>
          <w:iCs/>
        </w:rPr>
        <w:t xml:space="preserve"> and by telephone in Hebrew and </w:t>
      </w:r>
      <w:r>
        <w:rPr>
          <w:i/>
          <w:iCs/>
        </w:rPr>
        <w:t>98</w:t>
      </w:r>
      <w:r w:rsidRPr="00186227">
        <w:rPr>
          <w:i/>
          <w:iCs/>
        </w:rPr>
        <w:t xml:space="preserve"> in Arabic. The maximum sampling error was ±</w:t>
      </w:r>
      <w:r>
        <w:rPr>
          <w:i/>
          <w:iCs/>
        </w:rPr>
        <w:t>4.04</w:t>
      </w:r>
      <w:r w:rsidRPr="00186227">
        <w:rPr>
          <w:i/>
          <w:iCs/>
        </w:rPr>
        <w:t xml:space="preserve">% at a confidence level of 95%. Field work was carried out by the </w:t>
      </w:r>
      <w:r w:rsidRPr="004A4047">
        <w:rPr>
          <w:i/>
          <w:iCs/>
        </w:rPr>
        <w:t>Lazar Research Institute</w:t>
      </w:r>
      <w:r w:rsidRPr="00186227">
        <w:rPr>
          <w:i/>
          <w:iCs/>
        </w:rPr>
        <w:t>.</w:t>
      </w:r>
    </w:p>
    <w:bookmarkEnd w:id="0"/>
    <w:p w14:paraId="355BEBFC" w14:textId="77777777" w:rsidR="00B85460" w:rsidRPr="00B23029" w:rsidRDefault="00B85460" w:rsidP="00F24C0C">
      <w:pPr>
        <w:bidi w:val="0"/>
        <w:rPr>
          <w:b/>
          <w:bCs/>
          <w:color w:val="4472C4" w:themeColor="accent1"/>
          <w:sz w:val="24"/>
          <w:szCs w:val="24"/>
          <w:rtl/>
        </w:rPr>
      </w:pPr>
    </w:p>
    <w:sectPr w:rsidR="00B85460" w:rsidRPr="00B23029" w:rsidSect="00F634E7">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0FFE2F" w14:textId="77777777" w:rsidR="00F634E7" w:rsidRDefault="00F634E7" w:rsidP="00162267">
      <w:pPr>
        <w:spacing w:after="0" w:line="240" w:lineRule="auto"/>
      </w:pPr>
      <w:r>
        <w:separator/>
      </w:r>
    </w:p>
  </w:endnote>
  <w:endnote w:type="continuationSeparator" w:id="0">
    <w:p w14:paraId="05251B5F" w14:textId="77777777" w:rsidR="00F634E7" w:rsidRDefault="00F634E7" w:rsidP="00162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87B54" w14:textId="77777777" w:rsidR="00F634E7" w:rsidRDefault="00F634E7" w:rsidP="00162267">
      <w:pPr>
        <w:spacing w:after="0" w:line="240" w:lineRule="auto"/>
      </w:pPr>
      <w:r>
        <w:separator/>
      </w:r>
    </w:p>
  </w:footnote>
  <w:footnote w:type="continuationSeparator" w:id="0">
    <w:p w14:paraId="577644B8" w14:textId="77777777" w:rsidR="00F634E7" w:rsidRDefault="00F634E7" w:rsidP="00162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207F51" w14:textId="085E2D47" w:rsidR="00162267" w:rsidRDefault="00162267">
    <w:pPr>
      <w:pStyle w:val="Header"/>
    </w:pPr>
    <w:r>
      <w:rPr>
        <w:noProof/>
      </w:rPr>
      <w:drawing>
        <wp:anchor distT="0" distB="0" distL="114300" distR="114300" simplePos="0" relativeHeight="251659264" behindDoc="0" locked="0" layoutInCell="1" allowOverlap="1" wp14:anchorId="1FFBC28E" wp14:editId="014BD63F">
          <wp:simplePos x="0" y="0"/>
          <wp:positionH relativeFrom="margin">
            <wp:align>center</wp:align>
          </wp:positionH>
          <wp:positionV relativeFrom="paragraph">
            <wp:posOffset>-280035</wp:posOffset>
          </wp:positionV>
          <wp:extent cx="650875" cy="742950"/>
          <wp:effectExtent l="0" t="0" r="0" b="0"/>
          <wp:wrapTopAndBottom/>
          <wp:docPr id="1210562759" name="Picture 1" descr="A blue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62759" name="Picture 1" descr="A blue and grey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EA"/>
    <w:rsid w:val="00004821"/>
    <w:rsid w:val="0002227D"/>
    <w:rsid w:val="000453AE"/>
    <w:rsid w:val="000B0B71"/>
    <w:rsid w:val="000C6E22"/>
    <w:rsid w:val="000E274C"/>
    <w:rsid w:val="00100C4A"/>
    <w:rsid w:val="00102787"/>
    <w:rsid w:val="0011771B"/>
    <w:rsid w:val="00122FDD"/>
    <w:rsid w:val="00162267"/>
    <w:rsid w:val="001676CA"/>
    <w:rsid w:val="001E1E55"/>
    <w:rsid w:val="002153CD"/>
    <w:rsid w:val="002B2C59"/>
    <w:rsid w:val="0033584C"/>
    <w:rsid w:val="00335C26"/>
    <w:rsid w:val="00365BAE"/>
    <w:rsid w:val="003A0F82"/>
    <w:rsid w:val="003B232F"/>
    <w:rsid w:val="00417739"/>
    <w:rsid w:val="004267F5"/>
    <w:rsid w:val="004514AE"/>
    <w:rsid w:val="00493CAC"/>
    <w:rsid w:val="004A2DA2"/>
    <w:rsid w:val="004A406B"/>
    <w:rsid w:val="004E1E7A"/>
    <w:rsid w:val="004F06F2"/>
    <w:rsid w:val="00504E40"/>
    <w:rsid w:val="00580FD1"/>
    <w:rsid w:val="0059440A"/>
    <w:rsid w:val="00603502"/>
    <w:rsid w:val="0069631F"/>
    <w:rsid w:val="006D1740"/>
    <w:rsid w:val="006D5237"/>
    <w:rsid w:val="00715AFA"/>
    <w:rsid w:val="00717D88"/>
    <w:rsid w:val="007254CF"/>
    <w:rsid w:val="00726C30"/>
    <w:rsid w:val="00757284"/>
    <w:rsid w:val="007663B2"/>
    <w:rsid w:val="00795D1D"/>
    <w:rsid w:val="007A5BFB"/>
    <w:rsid w:val="007F23CF"/>
    <w:rsid w:val="00822396"/>
    <w:rsid w:val="00834E77"/>
    <w:rsid w:val="00843EBB"/>
    <w:rsid w:val="008637F1"/>
    <w:rsid w:val="008773D5"/>
    <w:rsid w:val="008C4699"/>
    <w:rsid w:val="00931E4B"/>
    <w:rsid w:val="009514FA"/>
    <w:rsid w:val="00953714"/>
    <w:rsid w:val="0096187B"/>
    <w:rsid w:val="00996E9E"/>
    <w:rsid w:val="00997211"/>
    <w:rsid w:val="009C0A21"/>
    <w:rsid w:val="009C3B87"/>
    <w:rsid w:val="009E5B6F"/>
    <w:rsid w:val="009E76A4"/>
    <w:rsid w:val="00A0659B"/>
    <w:rsid w:val="00A25F85"/>
    <w:rsid w:val="00A539D3"/>
    <w:rsid w:val="00A62621"/>
    <w:rsid w:val="00A628CA"/>
    <w:rsid w:val="00A91A1B"/>
    <w:rsid w:val="00AA3AEB"/>
    <w:rsid w:val="00AE5DEA"/>
    <w:rsid w:val="00AF50E9"/>
    <w:rsid w:val="00B23029"/>
    <w:rsid w:val="00B821A8"/>
    <w:rsid w:val="00B85460"/>
    <w:rsid w:val="00BC353C"/>
    <w:rsid w:val="00BE464A"/>
    <w:rsid w:val="00BF53A6"/>
    <w:rsid w:val="00C30FEA"/>
    <w:rsid w:val="00C36268"/>
    <w:rsid w:val="00C413EC"/>
    <w:rsid w:val="00CE00CF"/>
    <w:rsid w:val="00D258FA"/>
    <w:rsid w:val="00D273EA"/>
    <w:rsid w:val="00D347B7"/>
    <w:rsid w:val="00D7246D"/>
    <w:rsid w:val="00D8170B"/>
    <w:rsid w:val="00D81D52"/>
    <w:rsid w:val="00D93EE2"/>
    <w:rsid w:val="00DC696E"/>
    <w:rsid w:val="00DD6EF8"/>
    <w:rsid w:val="00DF269C"/>
    <w:rsid w:val="00E20FD7"/>
    <w:rsid w:val="00E40307"/>
    <w:rsid w:val="00EC6183"/>
    <w:rsid w:val="00EC7CD7"/>
    <w:rsid w:val="00EF32DB"/>
    <w:rsid w:val="00F04E93"/>
    <w:rsid w:val="00F22EDD"/>
    <w:rsid w:val="00F24C0C"/>
    <w:rsid w:val="00F634E7"/>
    <w:rsid w:val="00F67221"/>
    <w:rsid w:val="00F901BD"/>
    <w:rsid w:val="00F912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F4DB"/>
  <w15:chartTrackingRefBased/>
  <w15:docId w15:val="{B76D1CE7-9439-4054-A198-D10C2A0B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2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2267"/>
  </w:style>
  <w:style w:type="paragraph" w:styleId="Footer">
    <w:name w:val="footer"/>
    <w:basedOn w:val="Normal"/>
    <w:link w:val="FooterChar"/>
    <w:uiPriority w:val="99"/>
    <w:unhideWhenUsed/>
    <w:rsid w:val="001622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2267"/>
  </w:style>
  <w:style w:type="paragraph" w:styleId="Revision">
    <w:name w:val="Revision"/>
    <w:hidden/>
    <w:uiPriority w:val="99"/>
    <w:semiHidden/>
    <w:rsid w:val="00504E40"/>
    <w:pPr>
      <w:spacing w:after="0" w:line="240" w:lineRule="auto"/>
    </w:pPr>
  </w:style>
  <w:style w:type="character" w:styleId="CommentReference">
    <w:name w:val="annotation reference"/>
    <w:basedOn w:val="DefaultParagraphFont"/>
    <w:uiPriority w:val="99"/>
    <w:semiHidden/>
    <w:unhideWhenUsed/>
    <w:rsid w:val="00504E40"/>
    <w:rPr>
      <w:sz w:val="16"/>
      <w:szCs w:val="16"/>
    </w:rPr>
  </w:style>
  <w:style w:type="paragraph" w:styleId="CommentText">
    <w:name w:val="annotation text"/>
    <w:basedOn w:val="Normal"/>
    <w:link w:val="CommentTextChar"/>
    <w:uiPriority w:val="99"/>
    <w:unhideWhenUsed/>
    <w:rsid w:val="00504E40"/>
    <w:pPr>
      <w:spacing w:line="240" w:lineRule="auto"/>
    </w:pPr>
    <w:rPr>
      <w:sz w:val="20"/>
      <w:szCs w:val="20"/>
    </w:rPr>
  </w:style>
  <w:style w:type="character" w:customStyle="1" w:styleId="CommentTextChar">
    <w:name w:val="Comment Text Char"/>
    <w:basedOn w:val="DefaultParagraphFont"/>
    <w:link w:val="CommentText"/>
    <w:uiPriority w:val="99"/>
    <w:rsid w:val="00504E40"/>
    <w:rPr>
      <w:sz w:val="20"/>
      <w:szCs w:val="20"/>
    </w:rPr>
  </w:style>
  <w:style w:type="paragraph" w:styleId="CommentSubject">
    <w:name w:val="annotation subject"/>
    <w:basedOn w:val="CommentText"/>
    <w:next w:val="CommentText"/>
    <w:link w:val="CommentSubjectChar"/>
    <w:uiPriority w:val="99"/>
    <w:semiHidden/>
    <w:unhideWhenUsed/>
    <w:rsid w:val="00504E40"/>
    <w:rPr>
      <w:b/>
      <w:bCs/>
    </w:rPr>
  </w:style>
  <w:style w:type="character" w:customStyle="1" w:styleId="CommentSubjectChar">
    <w:name w:val="Comment Subject Char"/>
    <w:basedOn w:val="CommentTextChar"/>
    <w:link w:val="CommentSubject"/>
    <w:uiPriority w:val="99"/>
    <w:semiHidden/>
    <w:rsid w:val="00504E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9661708953049E-2"/>
          <c:y val="3.968253968253968E-2"/>
          <c:w val="0.90849737532808394"/>
          <c:h val="0.77605799275090614"/>
        </c:manualLayout>
      </c:layout>
      <c:barChart>
        <c:barDir val="col"/>
        <c:grouping val="clustered"/>
        <c:varyColors val="0"/>
        <c:ser>
          <c:idx val="0"/>
          <c:order val="0"/>
          <c:tx>
            <c:strRef>
              <c:f>גיליון1!$B$1</c:f>
              <c:strCache>
                <c:ptCount val="1"/>
                <c:pt idx="0">
                  <c:v>סידרה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he-I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גיליון1!$A$2:$A$4</c:f>
              <c:strCache>
                <c:ptCount val="3"/>
                <c:pt idx="0">
                  <c:v>Left</c:v>
                </c:pt>
                <c:pt idx="1">
                  <c:v>Center</c:v>
                </c:pt>
                <c:pt idx="2">
                  <c:v>Right</c:v>
                </c:pt>
              </c:strCache>
            </c:strRef>
          </c:cat>
          <c:val>
            <c:numRef>
              <c:f>גיליון1!$B$2:$B$4</c:f>
              <c:numCache>
                <c:formatCode>General</c:formatCode>
                <c:ptCount val="3"/>
                <c:pt idx="0">
                  <c:v>45</c:v>
                </c:pt>
                <c:pt idx="1">
                  <c:v>77</c:v>
                </c:pt>
                <c:pt idx="2">
                  <c:v>90.5</c:v>
                </c:pt>
              </c:numCache>
            </c:numRef>
          </c:val>
          <c:extLst>
            <c:ext xmlns:c16="http://schemas.microsoft.com/office/drawing/2014/chart" uri="{C3380CC4-5D6E-409C-BE32-E72D297353CC}">
              <c16:uniqueId val="{00000000-569D-4430-8CFF-918A0E013BAD}"/>
            </c:ext>
          </c:extLst>
        </c:ser>
        <c:dLbls>
          <c:dLblPos val="outEnd"/>
          <c:showLegendKey val="0"/>
          <c:showVal val="1"/>
          <c:showCatName val="0"/>
          <c:showSerName val="0"/>
          <c:showPercent val="0"/>
          <c:showBubbleSize val="0"/>
        </c:dLbls>
        <c:gapWidth val="219"/>
        <c:overlap val="-27"/>
        <c:axId val="1123179919"/>
        <c:axId val="1123175599"/>
      </c:barChart>
      <c:catAx>
        <c:axId val="1123179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he-IL"/>
          </a:p>
        </c:txPr>
        <c:crossAx val="1123175599"/>
        <c:crosses val="autoZero"/>
        <c:auto val="1"/>
        <c:lblAlgn val="ctr"/>
        <c:lblOffset val="100"/>
        <c:noMultiLvlLbl val="0"/>
      </c:catAx>
      <c:valAx>
        <c:axId val="1123175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1123179919"/>
        <c:crosses val="autoZero"/>
        <c:crossBetween val="between"/>
        <c:majorUnit val="2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Sheet1!$A$4</c:f>
              <c:strCache>
                <c:ptCount val="1"/>
                <c:pt idx="0">
                  <c:v>Establish Jewish settlements in Gaza</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Sheet1!$B$3:$G$3</c:f>
              <c:strCache>
                <c:ptCount val="6"/>
                <c:pt idx="0">
                  <c:v>Total sample</c:v>
                </c:pt>
                <c:pt idx="1">
                  <c:v>Arabs</c:v>
                </c:pt>
                <c:pt idx="2">
                  <c:v>Jews</c:v>
                </c:pt>
                <c:pt idx="3">
                  <c:v>Left (Jews)</c:v>
                </c:pt>
                <c:pt idx="4">
                  <c:v>Center (Jews)</c:v>
                </c:pt>
                <c:pt idx="5">
                  <c:v>Right (Jews)</c:v>
                </c:pt>
              </c:strCache>
            </c:strRef>
          </c:cat>
          <c:val>
            <c:numRef>
              <c:f>Sheet1!$B$4:$G$4</c:f>
              <c:numCache>
                <c:formatCode>0</c:formatCode>
                <c:ptCount val="6"/>
                <c:pt idx="0">
                  <c:v>19</c:v>
                </c:pt>
                <c:pt idx="1">
                  <c:v>1.0092970201049656</c:v>
                </c:pt>
                <c:pt idx="2" formatCode="###0.0">
                  <c:v>22.462409408915153</c:v>
                </c:pt>
                <c:pt idx="3">
                  <c:v>1.283802293538906</c:v>
                </c:pt>
                <c:pt idx="4">
                  <c:v>8</c:v>
                </c:pt>
                <c:pt idx="5">
                  <c:v>33.03850078705522</c:v>
                </c:pt>
              </c:numCache>
            </c:numRef>
          </c:val>
          <c:extLst>
            <c:ext xmlns:c16="http://schemas.microsoft.com/office/drawing/2014/chart" uri="{C3380CC4-5D6E-409C-BE32-E72D297353CC}">
              <c16:uniqueId val="{00000000-FFC6-4489-A456-BF5890FA89B2}"/>
            </c:ext>
          </c:extLst>
        </c:ser>
        <c:ser>
          <c:idx val="1"/>
          <c:order val="1"/>
          <c:tx>
            <c:strRef>
              <c:f>Sheet1!$A$5</c:f>
              <c:strCache>
                <c:ptCount val="1"/>
                <c:pt idx="0">
                  <c:v>Maintain a limited military presence in order to control Gaza militarily</c:v>
                </c:pt>
              </c:strCache>
            </c:strRef>
          </c:tx>
          <c:spPr>
            <a:solidFill>
              <a:srgbClr val="7030A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Sheet1!$B$3:$G$3</c:f>
              <c:strCache>
                <c:ptCount val="6"/>
                <c:pt idx="0">
                  <c:v>Total sample</c:v>
                </c:pt>
                <c:pt idx="1">
                  <c:v>Arabs</c:v>
                </c:pt>
                <c:pt idx="2">
                  <c:v>Jews</c:v>
                </c:pt>
                <c:pt idx="3">
                  <c:v>Left (Jews)</c:v>
                </c:pt>
                <c:pt idx="4">
                  <c:v>Center (Jews)</c:v>
                </c:pt>
                <c:pt idx="5">
                  <c:v>Right (Jews)</c:v>
                </c:pt>
              </c:strCache>
            </c:strRef>
          </c:cat>
          <c:val>
            <c:numRef>
              <c:f>Sheet1!$B$5:$G$5</c:f>
              <c:numCache>
                <c:formatCode>###0.0</c:formatCode>
                <c:ptCount val="6"/>
                <c:pt idx="0" formatCode="0">
                  <c:v>24</c:v>
                </c:pt>
                <c:pt idx="1">
                  <c:v>7.5</c:v>
                </c:pt>
                <c:pt idx="2" formatCode="0">
                  <c:v>27.169079293929915</c:v>
                </c:pt>
                <c:pt idx="3" formatCode="0">
                  <c:v>14.222521691867463</c:v>
                </c:pt>
                <c:pt idx="4" formatCode="0">
                  <c:v>28</c:v>
                </c:pt>
                <c:pt idx="5" formatCode="0">
                  <c:v>30.307744678508708</c:v>
                </c:pt>
              </c:numCache>
            </c:numRef>
          </c:val>
          <c:extLst>
            <c:ext xmlns:c16="http://schemas.microsoft.com/office/drawing/2014/chart" uri="{C3380CC4-5D6E-409C-BE32-E72D297353CC}">
              <c16:uniqueId val="{00000001-FFC6-4489-A456-BF5890FA89B2}"/>
            </c:ext>
          </c:extLst>
        </c:ser>
        <c:ser>
          <c:idx val="2"/>
          <c:order val="2"/>
          <c:tx>
            <c:strRef>
              <c:f>Sheet1!$A$6</c:f>
              <c:strCache>
                <c:ptCount val="1"/>
                <c:pt idx="0">
                  <c:v>Hand over control of the Gaza Strip to an international force</c:v>
                </c:pt>
              </c:strCache>
            </c:strRef>
          </c:tx>
          <c:spPr>
            <a:solidFill>
              <a:srgbClr val="FFC000">
                <a:lumMod val="60000"/>
                <a:lumOff val="40000"/>
              </a:srgb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Sheet1!$B$3:$G$3</c:f>
              <c:strCache>
                <c:ptCount val="6"/>
                <c:pt idx="0">
                  <c:v>Total sample</c:v>
                </c:pt>
                <c:pt idx="1">
                  <c:v>Arabs</c:v>
                </c:pt>
                <c:pt idx="2">
                  <c:v>Jews</c:v>
                </c:pt>
                <c:pt idx="3">
                  <c:v>Left (Jews)</c:v>
                </c:pt>
                <c:pt idx="4">
                  <c:v>Center (Jews)</c:v>
                </c:pt>
                <c:pt idx="5">
                  <c:v>Right (Jews)</c:v>
                </c:pt>
              </c:strCache>
            </c:strRef>
          </c:cat>
          <c:val>
            <c:numRef>
              <c:f>Sheet1!$B$6:$G$6</c:f>
              <c:numCache>
                <c:formatCode>0</c:formatCode>
                <c:ptCount val="6"/>
                <c:pt idx="0">
                  <c:v>33</c:v>
                </c:pt>
                <c:pt idx="1">
                  <c:v>25</c:v>
                </c:pt>
                <c:pt idx="2">
                  <c:v>34.106512710037684</c:v>
                </c:pt>
                <c:pt idx="3">
                  <c:v>56.774823014110432</c:v>
                </c:pt>
                <c:pt idx="4">
                  <c:v>47</c:v>
                </c:pt>
                <c:pt idx="5">
                  <c:v>24.059367641764542</c:v>
                </c:pt>
              </c:numCache>
            </c:numRef>
          </c:val>
          <c:extLst>
            <c:ext xmlns:c16="http://schemas.microsoft.com/office/drawing/2014/chart" uri="{C3380CC4-5D6E-409C-BE32-E72D297353CC}">
              <c16:uniqueId val="{00000002-FFC6-4489-A456-BF5890FA89B2}"/>
            </c:ext>
          </c:extLst>
        </c:ser>
        <c:ser>
          <c:idx val="3"/>
          <c:order val="3"/>
          <c:tx>
            <c:strRef>
              <c:f>Sheet1!$A$7</c:f>
              <c:strCache>
                <c:ptCount val="1"/>
                <c:pt idx="0">
                  <c:v>Hand over control of the Gaza Strip to the Palestinian Authority</c:v>
                </c:pt>
              </c:strCache>
            </c:strRef>
          </c:tx>
          <c:spPr>
            <a:solidFill>
              <a:srgbClr val="70AD47">
                <a:lumMod val="50000"/>
              </a:srgb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bg1"/>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Sheet1!$B$3:$G$3</c:f>
              <c:strCache>
                <c:ptCount val="6"/>
                <c:pt idx="0">
                  <c:v>Total sample</c:v>
                </c:pt>
                <c:pt idx="1">
                  <c:v>Arabs</c:v>
                </c:pt>
                <c:pt idx="2">
                  <c:v>Jews</c:v>
                </c:pt>
                <c:pt idx="3">
                  <c:v>Left (Jews)</c:v>
                </c:pt>
                <c:pt idx="4">
                  <c:v>Center (Jews)</c:v>
                </c:pt>
                <c:pt idx="5">
                  <c:v>Right (Jews)</c:v>
                </c:pt>
              </c:strCache>
            </c:strRef>
          </c:cat>
          <c:val>
            <c:numRef>
              <c:f>Sheet1!$B$7:$G$7</c:f>
              <c:numCache>
                <c:formatCode>0</c:formatCode>
                <c:ptCount val="6"/>
                <c:pt idx="0">
                  <c:v>13</c:v>
                </c:pt>
                <c:pt idx="1">
                  <c:v>46</c:v>
                </c:pt>
                <c:pt idx="2" formatCode="###0.0">
                  <c:v>6.4678845104680986</c:v>
                </c:pt>
                <c:pt idx="3">
                  <c:v>16.999977559790199</c:v>
                </c:pt>
                <c:pt idx="4">
                  <c:v>8</c:v>
                </c:pt>
                <c:pt idx="5">
                  <c:v>3.9327560866700799</c:v>
                </c:pt>
              </c:numCache>
            </c:numRef>
          </c:val>
          <c:extLst>
            <c:ext xmlns:c16="http://schemas.microsoft.com/office/drawing/2014/chart" uri="{C3380CC4-5D6E-409C-BE32-E72D297353CC}">
              <c16:uniqueId val="{00000003-FFC6-4489-A456-BF5890FA89B2}"/>
            </c:ext>
          </c:extLst>
        </c:ser>
        <c:ser>
          <c:idx val="4"/>
          <c:order val="4"/>
          <c:tx>
            <c:strRef>
              <c:f>Sheet1!$A$8</c:f>
              <c:strCache>
                <c:ptCount val="1"/>
                <c:pt idx="0">
                  <c:v>Don’t know</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he-I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Sheet1!$B$3:$G$3</c:f>
              <c:strCache>
                <c:ptCount val="6"/>
                <c:pt idx="0">
                  <c:v>Total sample</c:v>
                </c:pt>
                <c:pt idx="1">
                  <c:v>Arabs</c:v>
                </c:pt>
                <c:pt idx="2">
                  <c:v>Jews</c:v>
                </c:pt>
                <c:pt idx="3">
                  <c:v>Left (Jews)</c:v>
                </c:pt>
                <c:pt idx="4">
                  <c:v>Center (Jews)</c:v>
                </c:pt>
                <c:pt idx="5">
                  <c:v>Right (Jews)</c:v>
                </c:pt>
              </c:strCache>
            </c:strRef>
          </c:cat>
          <c:val>
            <c:numRef>
              <c:f>Sheet1!$B$8:$G$8</c:f>
              <c:numCache>
                <c:formatCode>0.0</c:formatCode>
                <c:ptCount val="6"/>
                <c:pt idx="0" formatCode="0">
                  <c:v>11</c:v>
                </c:pt>
                <c:pt idx="1">
                  <c:v>20.5</c:v>
                </c:pt>
                <c:pt idx="2" formatCode="0">
                  <c:v>9.7941140766491568</c:v>
                </c:pt>
                <c:pt idx="3" formatCode="0">
                  <c:v>10.718875440692994</c:v>
                </c:pt>
                <c:pt idx="4" formatCode="0">
                  <c:v>9</c:v>
                </c:pt>
                <c:pt idx="5" formatCode="0">
                  <c:v>8.6616308060014564</c:v>
                </c:pt>
              </c:numCache>
            </c:numRef>
          </c:val>
          <c:extLst>
            <c:ext xmlns:c16="http://schemas.microsoft.com/office/drawing/2014/chart" uri="{C3380CC4-5D6E-409C-BE32-E72D297353CC}">
              <c16:uniqueId val="{00000004-FFC6-4489-A456-BF5890FA89B2}"/>
            </c:ext>
          </c:extLst>
        </c:ser>
        <c:dLbls>
          <c:dLblPos val="ctr"/>
          <c:showLegendKey val="0"/>
          <c:showVal val="1"/>
          <c:showCatName val="0"/>
          <c:showSerName val="0"/>
          <c:showPercent val="0"/>
          <c:showBubbleSize val="0"/>
        </c:dLbls>
        <c:gapWidth val="150"/>
        <c:overlap val="100"/>
        <c:axId val="82565823"/>
        <c:axId val="82571583"/>
      </c:barChart>
      <c:catAx>
        <c:axId val="825658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he-IL"/>
          </a:p>
        </c:txPr>
        <c:crossAx val="82571583"/>
        <c:crosses val="autoZero"/>
        <c:auto val="1"/>
        <c:lblAlgn val="ctr"/>
        <c:lblOffset val="100"/>
        <c:noMultiLvlLbl val="0"/>
      </c:catAx>
      <c:valAx>
        <c:axId val="8257158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crossAx val="82565823"/>
        <c:crosses val="autoZero"/>
        <c:crossBetween val="between"/>
        <c:majorUnit val="2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he-I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he-I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E482-9CB6-40B3-ACE2-019253F6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1123</Words>
  <Characters>5326</Characters>
  <Application>Microsoft Office Word</Application>
  <DocSecurity>0</DocSecurity>
  <Lines>110</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 Cohen</dc:creator>
  <cp:keywords/>
  <dc:description/>
  <cp:lastModifiedBy>Tova Cohen</cp:lastModifiedBy>
  <cp:revision>3</cp:revision>
  <cp:lastPrinted>2024-04-21T14:09:00Z</cp:lastPrinted>
  <dcterms:created xsi:type="dcterms:W3CDTF">2024-04-21T18:17:00Z</dcterms:created>
  <dcterms:modified xsi:type="dcterms:W3CDTF">2024-04-21T18:21:00Z</dcterms:modified>
</cp:coreProperties>
</file>